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A76A" w14:textId="2013EE25" w:rsidR="00C607C1" w:rsidRDefault="00C607C1" w:rsidP="008B0B5C">
      <w:pPr>
        <w:rPr>
          <w:rStyle w:val="cf01"/>
          <w:rFonts w:ascii="Times New Roman" w:hAnsi="Times New Roman" w:cs="Times New Roman"/>
          <w:b/>
          <w:bCs/>
          <w:sz w:val="22"/>
          <w:szCs w:val="22"/>
        </w:rPr>
      </w:pPr>
      <w:r w:rsidRPr="00C607C1">
        <w:rPr>
          <w:rStyle w:val="cf01"/>
          <w:rFonts w:ascii="Times New Roman" w:hAnsi="Times New Roman" w:cs="Times New Roman"/>
          <w:b/>
          <w:bCs/>
          <w:sz w:val="22"/>
          <w:szCs w:val="22"/>
          <w:highlight w:val="yellow"/>
        </w:rPr>
        <w:t xml:space="preserve">REMOVE </w:t>
      </w:r>
      <w:r w:rsidR="008F7A03">
        <w:rPr>
          <w:rStyle w:val="cf01"/>
          <w:rFonts w:ascii="Times New Roman" w:hAnsi="Times New Roman" w:cs="Times New Roman"/>
          <w:b/>
          <w:bCs/>
          <w:sz w:val="22"/>
          <w:szCs w:val="22"/>
          <w:highlight w:val="yellow"/>
        </w:rPr>
        <w:t xml:space="preserve">YELLOW HIGHLIGHTED SECTIONS </w:t>
      </w:r>
      <w:r w:rsidRPr="00C607C1">
        <w:rPr>
          <w:rStyle w:val="cf01"/>
          <w:rFonts w:ascii="Times New Roman" w:hAnsi="Times New Roman" w:cs="Times New Roman"/>
          <w:b/>
          <w:bCs/>
          <w:sz w:val="22"/>
          <w:szCs w:val="22"/>
          <w:highlight w:val="yellow"/>
        </w:rPr>
        <w:t xml:space="preserve">PRIOR TO SUBMISSION - FISCAL YEAR </w:t>
      </w:r>
      <w:r w:rsidR="008F7A03">
        <w:rPr>
          <w:rStyle w:val="cf01"/>
          <w:rFonts w:ascii="Times New Roman" w:hAnsi="Times New Roman" w:cs="Times New Roman"/>
          <w:b/>
          <w:bCs/>
          <w:sz w:val="22"/>
          <w:szCs w:val="22"/>
          <w:highlight w:val="yellow"/>
        </w:rPr>
        <w:t>2024</w:t>
      </w:r>
      <w:r w:rsidR="002971B1" w:rsidRPr="00C607C1">
        <w:rPr>
          <w:rStyle w:val="cf01"/>
          <w:rFonts w:ascii="Times New Roman" w:hAnsi="Times New Roman" w:cs="Times New Roman"/>
          <w:b/>
          <w:bCs/>
          <w:sz w:val="22"/>
          <w:szCs w:val="22"/>
          <w:highlight w:val="yellow"/>
        </w:rPr>
        <w:t xml:space="preserve"> </w:t>
      </w:r>
      <w:r w:rsidRPr="00C607C1">
        <w:rPr>
          <w:rStyle w:val="cf01"/>
          <w:rFonts w:ascii="Times New Roman" w:hAnsi="Times New Roman" w:cs="Times New Roman"/>
          <w:b/>
          <w:bCs/>
          <w:sz w:val="22"/>
          <w:szCs w:val="22"/>
          <w:highlight w:val="yellow"/>
        </w:rPr>
        <w:t>VERSION - UPDATED</w:t>
      </w:r>
      <w:r w:rsidR="00443C6C">
        <w:rPr>
          <w:rStyle w:val="cf01"/>
          <w:rFonts w:ascii="Times New Roman" w:hAnsi="Times New Roman" w:cs="Times New Roman"/>
          <w:b/>
          <w:bCs/>
          <w:sz w:val="22"/>
          <w:szCs w:val="22"/>
          <w:highlight w:val="yellow"/>
        </w:rPr>
        <w:t xml:space="preserve"> </w:t>
      </w:r>
      <w:r w:rsidR="002971B1">
        <w:rPr>
          <w:rStyle w:val="cf01"/>
          <w:rFonts w:ascii="Times New Roman" w:hAnsi="Times New Roman" w:cs="Times New Roman"/>
          <w:b/>
          <w:bCs/>
          <w:sz w:val="22"/>
          <w:szCs w:val="22"/>
          <w:highlight w:val="yellow"/>
        </w:rPr>
        <w:t>8</w:t>
      </w:r>
      <w:r w:rsidRPr="00C607C1">
        <w:rPr>
          <w:rStyle w:val="cf01"/>
          <w:rFonts w:ascii="Times New Roman" w:hAnsi="Times New Roman" w:cs="Times New Roman"/>
          <w:b/>
          <w:bCs/>
          <w:sz w:val="22"/>
          <w:szCs w:val="22"/>
          <w:highlight w:val="yellow"/>
        </w:rPr>
        <w:t>_</w:t>
      </w:r>
      <w:r w:rsidR="002971B1">
        <w:rPr>
          <w:rStyle w:val="cf01"/>
          <w:rFonts w:ascii="Times New Roman" w:hAnsi="Times New Roman" w:cs="Times New Roman"/>
          <w:b/>
          <w:bCs/>
          <w:sz w:val="22"/>
          <w:szCs w:val="22"/>
          <w:highlight w:val="yellow"/>
        </w:rPr>
        <w:t>1</w:t>
      </w:r>
      <w:r w:rsidR="00C460B5">
        <w:rPr>
          <w:rStyle w:val="cf01"/>
          <w:rFonts w:ascii="Times New Roman" w:hAnsi="Times New Roman" w:cs="Times New Roman"/>
          <w:b/>
          <w:bCs/>
          <w:sz w:val="22"/>
          <w:szCs w:val="22"/>
          <w:highlight w:val="yellow"/>
        </w:rPr>
        <w:t>3</w:t>
      </w:r>
      <w:r w:rsidRPr="00C607C1">
        <w:rPr>
          <w:rStyle w:val="cf01"/>
          <w:rFonts w:ascii="Times New Roman" w:hAnsi="Times New Roman" w:cs="Times New Roman"/>
          <w:b/>
          <w:bCs/>
          <w:sz w:val="22"/>
          <w:szCs w:val="22"/>
          <w:highlight w:val="yellow"/>
        </w:rPr>
        <w:t>_2</w:t>
      </w:r>
      <w:r w:rsidR="00443C6C">
        <w:rPr>
          <w:rStyle w:val="cf01"/>
          <w:rFonts w:ascii="Times New Roman" w:hAnsi="Times New Roman" w:cs="Times New Roman"/>
          <w:b/>
          <w:bCs/>
          <w:sz w:val="22"/>
          <w:szCs w:val="22"/>
          <w:highlight w:val="yellow"/>
        </w:rPr>
        <w:t>5</w:t>
      </w:r>
    </w:p>
    <w:p w14:paraId="608AA031" w14:textId="022ED7E7" w:rsidR="008F7A03" w:rsidRPr="00C607C1" w:rsidRDefault="008F7A03" w:rsidP="008B0B5C">
      <w:pPr>
        <w:rPr>
          <w:rStyle w:val="cf01"/>
          <w:rFonts w:ascii="Times New Roman" w:hAnsi="Times New Roman" w:cs="Times New Roman"/>
          <w:b/>
          <w:bCs/>
          <w:sz w:val="22"/>
          <w:szCs w:val="22"/>
        </w:rPr>
      </w:pPr>
      <w:r w:rsidRPr="002363E1">
        <w:rPr>
          <w:rStyle w:val="cf01"/>
          <w:rFonts w:ascii="Times New Roman" w:hAnsi="Times New Roman" w:cs="Times New Roman"/>
          <w:b/>
          <w:bCs/>
          <w:sz w:val="22"/>
          <w:szCs w:val="22"/>
          <w:highlight w:val="yellow"/>
        </w:rPr>
        <w:t xml:space="preserve">IMPORTANT NOTE. </w:t>
      </w:r>
      <w:r w:rsidRPr="002363E1">
        <w:rPr>
          <w:rStyle w:val="cf01"/>
          <w:rFonts w:ascii="Times New Roman" w:hAnsi="Times New Roman" w:cs="Times New Roman"/>
          <w:sz w:val="22"/>
          <w:szCs w:val="22"/>
          <w:highlight w:val="yellow"/>
        </w:rPr>
        <w:t xml:space="preserve">This document includes general SOPH-level information using data pulled from a variety of sources. The information on the $ awarded, overall, and by department is pulled from Tableau, which is only available to the Dean and SOPH OOR Associate and Assistant Deans. The intent of this document is for content to be further customized by the Dept. Administrator / Faculty member during the submission process. </w:t>
      </w:r>
      <w:r w:rsidR="00095ECC" w:rsidRPr="002363E1">
        <w:rPr>
          <w:rStyle w:val="cf01"/>
          <w:rFonts w:ascii="Times New Roman" w:hAnsi="Times New Roman" w:cs="Times New Roman"/>
          <w:sz w:val="22"/>
          <w:szCs w:val="22"/>
          <w:highlight w:val="yellow"/>
        </w:rPr>
        <w:t>Note: Language related to DEI, LGTBQ health, SDOH and disparities was removed from this version.</w:t>
      </w:r>
      <w:r w:rsidR="00095ECC">
        <w:rPr>
          <w:rStyle w:val="cf01"/>
          <w:rFonts w:ascii="Times New Roman" w:hAnsi="Times New Roman" w:cs="Times New Roman"/>
          <w:sz w:val="22"/>
          <w:szCs w:val="22"/>
        </w:rPr>
        <w:t xml:space="preserve">  </w:t>
      </w:r>
    </w:p>
    <w:p w14:paraId="06561F36" w14:textId="17255D44" w:rsidR="0087406D" w:rsidRPr="00C607C1" w:rsidRDefault="0087406D" w:rsidP="008B0B5C">
      <w:pPr>
        <w:rPr>
          <w:rFonts w:ascii="Times New Roman" w:hAnsi="Times New Roman" w:cs="Times New Roman"/>
          <w:b/>
          <w:bCs/>
        </w:rPr>
      </w:pPr>
      <w:r w:rsidRPr="00C607C1">
        <w:rPr>
          <w:rFonts w:ascii="Times New Roman" w:hAnsi="Times New Roman" w:cs="Times New Roman"/>
          <w:b/>
          <w:bCs/>
        </w:rPr>
        <w:t>UAB Facilities &amp; Other Resources</w:t>
      </w:r>
    </w:p>
    <w:p w14:paraId="30F80D7F" w14:textId="1CF23536" w:rsidR="0087406D" w:rsidRPr="00C607C1" w:rsidRDefault="0087406D" w:rsidP="008B0B5C">
      <w:pPr>
        <w:rPr>
          <w:rFonts w:ascii="Times New Roman" w:hAnsi="Times New Roman" w:cs="Times New Roman"/>
          <w:b/>
          <w:bCs/>
          <w:color w:val="000000"/>
        </w:rPr>
      </w:pPr>
      <w:r w:rsidRPr="00C607C1">
        <w:rPr>
          <w:rFonts w:ascii="Times New Roman" w:hAnsi="Times New Roman" w:cs="Times New Roman"/>
          <w:b/>
          <w:bCs/>
          <w:color w:val="000000"/>
          <w:u w:val="single"/>
        </w:rPr>
        <w:t>The University of Alabama at Birmingham (UAB)–Ray L. Watts, MD, President</w:t>
      </w:r>
    </w:p>
    <w:p w14:paraId="396DC073" w14:textId="4B7DCFDC" w:rsidR="0087406D" w:rsidRPr="007F7DC5" w:rsidRDefault="0087406D" w:rsidP="008B0B5C">
      <w:pPr>
        <w:rPr>
          <w:rFonts w:ascii="Times New Roman" w:hAnsi="Times New Roman" w:cs="Times New Roman"/>
          <w:color w:val="231F20"/>
        </w:rPr>
      </w:pPr>
      <w:r w:rsidRPr="00C607C1">
        <w:rPr>
          <w:rFonts w:ascii="Times New Roman" w:hAnsi="Times New Roman" w:cs="Times New Roman"/>
        </w:rPr>
        <w:t>The University of Alabama at Birmingham (UAB) is the only four-year, public university in Birmingham,</w:t>
      </w:r>
      <w:r w:rsidR="00C460B5">
        <w:rPr>
          <w:rFonts w:ascii="Times New Roman" w:hAnsi="Times New Roman" w:cs="Times New Roman"/>
        </w:rPr>
        <w:t xml:space="preserve"> AL, which is</w:t>
      </w:r>
      <w:r w:rsidRPr="00C607C1">
        <w:rPr>
          <w:rFonts w:ascii="Times New Roman" w:hAnsi="Times New Roman" w:cs="Times New Roman"/>
        </w:rPr>
        <w:t xml:space="preserve"> Alabama’s largest metropolitan area. </w:t>
      </w:r>
      <w:r w:rsidRPr="00C607C1">
        <w:rPr>
          <w:rFonts w:ascii="Times New Roman" w:hAnsi="Times New Roman" w:cs="Times New Roman"/>
          <w:lang w:val="en"/>
        </w:rPr>
        <w:t xml:space="preserve">Developed from an academic extension center established in 1936, the institution became a four-year campus in 1966 and a fully autonomous institution in 1969. Today, it is one of three institutions in the University of Alabama System </w:t>
      </w:r>
      <w:r w:rsidR="00C460B5">
        <w:rPr>
          <w:rFonts w:ascii="Times New Roman" w:hAnsi="Times New Roman" w:cs="Times New Roman"/>
          <w:lang w:val="en"/>
        </w:rPr>
        <w:t>and is designated a</w:t>
      </w:r>
      <w:r w:rsidRPr="00C607C1">
        <w:rPr>
          <w:rFonts w:ascii="Times New Roman" w:hAnsi="Times New Roman" w:cs="Times New Roman"/>
          <w:lang w:val="en"/>
        </w:rPr>
        <w:t xml:space="preserve"> R1 research institution. In the fall of</w:t>
      </w:r>
      <w:r w:rsidR="008358C3" w:rsidRPr="00C607C1">
        <w:rPr>
          <w:rFonts w:ascii="Times New Roman" w:hAnsi="Times New Roman" w:cs="Times New Roman"/>
          <w:lang w:val="en"/>
        </w:rPr>
        <w:t xml:space="preserve"> 202</w:t>
      </w:r>
      <w:r w:rsidR="00E816F5">
        <w:rPr>
          <w:rFonts w:ascii="Times New Roman" w:hAnsi="Times New Roman" w:cs="Times New Roman"/>
          <w:lang w:val="en"/>
        </w:rPr>
        <w:t>4</w:t>
      </w:r>
      <w:r w:rsidRPr="00C607C1">
        <w:rPr>
          <w:rFonts w:ascii="Times New Roman" w:hAnsi="Times New Roman" w:cs="Times New Roman"/>
          <w:lang w:val="en"/>
        </w:rPr>
        <w:t xml:space="preserve">, more than </w:t>
      </w:r>
      <w:r w:rsidR="008358C3" w:rsidRPr="00C607C1">
        <w:rPr>
          <w:rFonts w:ascii="Times New Roman" w:hAnsi="Times New Roman" w:cs="Times New Roman"/>
          <w:lang w:val="en"/>
        </w:rPr>
        <w:t>2</w:t>
      </w:r>
      <w:r w:rsidR="00E816F5">
        <w:rPr>
          <w:rFonts w:ascii="Times New Roman" w:hAnsi="Times New Roman" w:cs="Times New Roman"/>
          <w:lang w:val="en"/>
        </w:rPr>
        <w:t>0</w:t>
      </w:r>
      <w:r w:rsidR="008358C3" w:rsidRPr="00C607C1">
        <w:rPr>
          <w:rFonts w:ascii="Times New Roman" w:hAnsi="Times New Roman" w:cs="Times New Roman"/>
          <w:lang w:val="en"/>
        </w:rPr>
        <w:t xml:space="preserve">,000 </w:t>
      </w:r>
      <w:r w:rsidRPr="00C607C1">
        <w:rPr>
          <w:rFonts w:ascii="Times New Roman" w:hAnsi="Times New Roman" w:cs="Times New Roman"/>
          <w:lang w:val="en"/>
        </w:rPr>
        <w:t>students from more than 100 countries were enrolled at UAB pursuing studies in</w:t>
      </w:r>
      <w:r w:rsidR="00EA5BEF">
        <w:rPr>
          <w:rFonts w:ascii="Times New Roman" w:hAnsi="Times New Roman" w:cs="Times New Roman"/>
          <w:lang w:val="en"/>
        </w:rPr>
        <w:t xml:space="preserve"> over</w:t>
      </w:r>
      <w:r w:rsidRPr="00C607C1">
        <w:rPr>
          <w:rFonts w:ascii="Times New Roman" w:hAnsi="Times New Roman" w:cs="Times New Roman"/>
          <w:lang w:val="en"/>
        </w:rPr>
        <w:t xml:space="preserve"> 1</w:t>
      </w:r>
      <w:r w:rsidR="00EA5BEF">
        <w:rPr>
          <w:rFonts w:ascii="Times New Roman" w:hAnsi="Times New Roman" w:cs="Times New Roman"/>
          <w:lang w:val="en"/>
        </w:rPr>
        <w:t>8</w:t>
      </w:r>
      <w:r w:rsidRPr="00C607C1">
        <w:rPr>
          <w:rFonts w:ascii="Times New Roman" w:hAnsi="Times New Roman" w:cs="Times New Roman"/>
          <w:lang w:val="en"/>
        </w:rPr>
        <w:t>0</w:t>
      </w:r>
      <w:r w:rsidR="00EA5BEF">
        <w:rPr>
          <w:rFonts w:ascii="Times New Roman" w:hAnsi="Times New Roman" w:cs="Times New Roman"/>
          <w:lang w:val="en"/>
        </w:rPr>
        <w:t xml:space="preserve"> degrees</w:t>
      </w:r>
      <w:r w:rsidRPr="00C607C1">
        <w:rPr>
          <w:rFonts w:ascii="Times New Roman" w:hAnsi="Times New Roman" w:cs="Times New Roman"/>
          <w:lang w:val="en"/>
        </w:rPr>
        <w:t xml:space="preserve"> in 12 academic divisions leading to bachelor's, master's, doctoral, and professional degrees in the social and behavioral sciences, the liberal arts, business, education, engineering, and health-related fields </w:t>
      </w:r>
      <w:r w:rsidR="00E44E3A" w:rsidRPr="00C607C1">
        <w:rPr>
          <w:rFonts w:ascii="Times New Roman" w:hAnsi="Times New Roman" w:cs="Times New Roman"/>
          <w:lang w:val="en"/>
        </w:rPr>
        <w:t>including</w:t>
      </w:r>
      <w:r w:rsidRPr="00C607C1">
        <w:rPr>
          <w:rFonts w:ascii="Times New Roman" w:hAnsi="Times New Roman" w:cs="Times New Roman"/>
          <w:lang w:val="en"/>
        </w:rPr>
        <w:t xml:space="preserve"> medicine, dentistry, optometry, nursing, and public health. </w:t>
      </w:r>
      <w:r w:rsidRPr="00C607C1">
        <w:rPr>
          <w:rFonts w:ascii="Times New Roman" w:hAnsi="Times New Roman" w:cs="Times New Roman"/>
          <w:color w:val="231F20"/>
        </w:rPr>
        <w:t xml:space="preserve">UAB boasts many nationally ranked programs, with 6 graduate and professional programs </w:t>
      </w:r>
      <w:r w:rsidR="00FF419B">
        <w:rPr>
          <w:rFonts w:ascii="Times New Roman" w:hAnsi="Times New Roman" w:cs="Times New Roman"/>
          <w:color w:val="231F20"/>
        </w:rPr>
        <w:t xml:space="preserve">ranked </w:t>
      </w:r>
      <w:r w:rsidRPr="00C607C1">
        <w:rPr>
          <w:rFonts w:ascii="Times New Roman" w:hAnsi="Times New Roman" w:cs="Times New Roman"/>
          <w:color w:val="231F20"/>
        </w:rPr>
        <w:t xml:space="preserve">in the </w:t>
      </w:r>
      <w:r w:rsidR="00FF419B">
        <w:rPr>
          <w:rFonts w:ascii="Times New Roman" w:hAnsi="Times New Roman" w:cs="Times New Roman"/>
          <w:color w:val="231F20"/>
        </w:rPr>
        <w:t xml:space="preserve">nation’s top 10 by U.S. News and World Report in 2025. This includes </w:t>
      </w:r>
      <w:r w:rsidR="00E47D81">
        <w:rPr>
          <w:rFonts w:ascii="Times New Roman" w:hAnsi="Times New Roman" w:cs="Times New Roman"/>
          <w:color w:val="231F20"/>
        </w:rPr>
        <w:t>the School of Health Professions Master of Science in Health Administration program and 5 programs within the School of Nursing.</w:t>
      </w:r>
      <w:r w:rsidR="00D90C40">
        <w:rPr>
          <w:rFonts w:ascii="Times New Roman" w:hAnsi="Times New Roman" w:cs="Times New Roman"/>
          <w:color w:val="231F20"/>
        </w:rPr>
        <w:t xml:space="preserve"> </w:t>
      </w:r>
      <w:r w:rsidR="00D90C40" w:rsidRPr="00D90C40">
        <w:rPr>
          <w:rFonts w:ascii="Times New Roman" w:hAnsi="Times New Roman" w:cs="Times New Roman"/>
          <w:color w:val="231F20"/>
        </w:rPr>
        <w:t xml:space="preserve">In the 2025 edition of </w:t>
      </w:r>
      <w:r w:rsidR="00653F62">
        <w:rPr>
          <w:rFonts w:ascii="Times New Roman" w:hAnsi="Times New Roman" w:cs="Times New Roman"/>
          <w:color w:val="231F20"/>
        </w:rPr>
        <w:t xml:space="preserve">the U.S. News and World Report </w:t>
      </w:r>
      <w:r w:rsidR="00D90C40" w:rsidRPr="00D90C40">
        <w:rPr>
          <w:rFonts w:ascii="Times New Roman" w:hAnsi="Times New Roman" w:cs="Times New Roman"/>
          <w:color w:val="231F20"/>
        </w:rPr>
        <w:t xml:space="preserve">Best Colleges, </w:t>
      </w:r>
      <w:r w:rsidR="00D90C40">
        <w:rPr>
          <w:rFonts w:ascii="Times New Roman" w:hAnsi="Times New Roman" w:cs="Times New Roman"/>
          <w:color w:val="231F20"/>
        </w:rPr>
        <w:t>UAB was</w:t>
      </w:r>
      <w:r w:rsidR="00D90C40" w:rsidRPr="00D90C40">
        <w:rPr>
          <w:rFonts w:ascii="Times New Roman" w:hAnsi="Times New Roman" w:cs="Times New Roman"/>
          <w:color w:val="231F20"/>
        </w:rPr>
        <w:t xml:space="preserve"> ranked No. #136 in National Universities</w:t>
      </w:r>
      <w:r w:rsidR="00D90C40">
        <w:rPr>
          <w:rFonts w:ascii="Times New Roman" w:hAnsi="Times New Roman" w:cs="Times New Roman"/>
          <w:color w:val="231F20"/>
        </w:rPr>
        <w:t xml:space="preserve"> and </w:t>
      </w:r>
      <w:r w:rsidR="00D90C40" w:rsidRPr="00D90C40">
        <w:rPr>
          <w:rFonts w:ascii="Times New Roman" w:hAnsi="Times New Roman" w:cs="Times New Roman"/>
          <w:color w:val="231F20"/>
        </w:rPr>
        <w:t>No. #69 in Top Public Schools.</w:t>
      </w:r>
      <w:r w:rsidR="00E47D81">
        <w:rPr>
          <w:rFonts w:ascii="Times New Roman" w:hAnsi="Times New Roman" w:cs="Times New Roman"/>
          <w:color w:val="231F20"/>
        </w:rPr>
        <w:t xml:space="preserve"> </w:t>
      </w:r>
      <w:r w:rsidR="002E4BE3">
        <w:rPr>
          <w:rFonts w:ascii="Times New Roman" w:hAnsi="Times New Roman" w:cs="Times New Roman"/>
          <w:color w:val="231F20"/>
        </w:rPr>
        <w:t>In 2025</w:t>
      </w:r>
      <w:r w:rsidR="00443C6C">
        <w:rPr>
          <w:rFonts w:ascii="Times New Roman" w:hAnsi="Times New Roman" w:cs="Times New Roman"/>
          <w:color w:val="231F20"/>
        </w:rPr>
        <w:t>,</w:t>
      </w:r>
      <w:r w:rsidR="002E4BE3">
        <w:rPr>
          <w:rFonts w:ascii="Times New Roman" w:hAnsi="Times New Roman" w:cs="Times New Roman"/>
          <w:color w:val="231F20"/>
        </w:rPr>
        <w:t xml:space="preserve"> </w:t>
      </w:r>
      <w:r w:rsidR="00443C6C">
        <w:rPr>
          <w:rFonts w:ascii="Times New Roman" w:hAnsi="Times New Roman" w:cs="Times New Roman"/>
          <w:color w:val="231F20"/>
        </w:rPr>
        <w:t>UAB ranked</w:t>
      </w:r>
      <w:r w:rsidR="002E4BE3">
        <w:rPr>
          <w:rFonts w:ascii="Times New Roman" w:hAnsi="Times New Roman" w:cs="Times New Roman"/>
          <w:color w:val="231F20"/>
        </w:rPr>
        <w:t xml:space="preserve"> in</w:t>
      </w:r>
      <w:r w:rsidR="00443C6C">
        <w:rPr>
          <w:rFonts w:ascii="Times New Roman" w:hAnsi="Times New Roman" w:cs="Times New Roman"/>
          <w:color w:val="231F20"/>
        </w:rPr>
        <w:t xml:space="preserve"> the</w:t>
      </w:r>
      <w:r w:rsidR="002E4BE3">
        <w:rPr>
          <w:rFonts w:ascii="Times New Roman" w:hAnsi="Times New Roman" w:cs="Times New Roman"/>
          <w:color w:val="231F20"/>
        </w:rPr>
        <w:t xml:space="preserve"> top 6% </w:t>
      </w:r>
      <w:r w:rsidR="00443C6C">
        <w:rPr>
          <w:rFonts w:ascii="Times New Roman" w:hAnsi="Times New Roman" w:cs="Times New Roman"/>
          <w:color w:val="231F20"/>
        </w:rPr>
        <w:t>of</w:t>
      </w:r>
      <w:r w:rsidR="002E4BE3">
        <w:rPr>
          <w:rFonts w:ascii="Times New Roman" w:hAnsi="Times New Roman" w:cs="Times New Roman"/>
          <w:color w:val="231F20"/>
        </w:rPr>
        <w:t xml:space="preserve"> global universities</w:t>
      </w:r>
      <w:r w:rsidR="00443C6C">
        <w:rPr>
          <w:rFonts w:ascii="Times New Roman" w:hAnsi="Times New Roman" w:cs="Times New Roman"/>
          <w:color w:val="231F20"/>
        </w:rPr>
        <w:t xml:space="preserve"> by U.S. News &amp; World Report international rankings</w:t>
      </w:r>
      <w:r w:rsidRPr="00C607C1">
        <w:rPr>
          <w:rFonts w:ascii="Times New Roman" w:hAnsi="Times New Roman" w:cs="Times New Roman"/>
          <w:color w:val="000000"/>
          <w:lang w:val="en-GB"/>
        </w:rPr>
        <w:t>.</w:t>
      </w:r>
      <w:r w:rsidRPr="00C607C1">
        <w:rPr>
          <w:rFonts w:ascii="Times New Roman" w:hAnsi="Times New Roman" w:cs="Times New Roman"/>
          <w:lang w:val="en"/>
        </w:rPr>
        <w:t xml:space="preserve"> </w:t>
      </w:r>
      <w:r w:rsidR="00AE66DA">
        <w:rPr>
          <w:rFonts w:ascii="Times New Roman" w:hAnsi="Times New Roman" w:cs="Times New Roman"/>
          <w:lang w:val="en"/>
        </w:rPr>
        <w:t>In Alabama</w:t>
      </w:r>
      <w:r w:rsidR="00C460B5">
        <w:rPr>
          <w:rFonts w:ascii="Times New Roman" w:hAnsi="Times New Roman" w:cs="Times New Roman"/>
          <w:lang w:val="en"/>
        </w:rPr>
        <w:t>,</w:t>
      </w:r>
      <w:r w:rsidR="00AE66DA">
        <w:rPr>
          <w:rFonts w:ascii="Times New Roman" w:hAnsi="Times New Roman" w:cs="Times New Roman"/>
          <w:lang w:val="en"/>
        </w:rPr>
        <w:t xml:space="preserve"> Niche ranked UAB #2 for Best Colleges, #1 for Colleges with the Best Professors, and #2 for Colleges with the Best Academics in 2025. </w:t>
      </w:r>
      <w:r w:rsidR="002F40FB" w:rsidRPr="002F40FB">
        <w:rPr>
          <w:rFonts w:ascii="Times New Roman" w:hAnsi="Times New Roman" w:cs="Times New Roman"/>
        </w:rPr>
        <w:t>In 2023, UAB was recognized for the first time as one of the best colleges in the nation to work for, according to the Great Colleges to Work For</w:t>
      </w:r>
      <w:r w:rsidR="002F40FB" w:rsidRPr="002F40FB">
        <w:rPr>
          <w:rFonts w:ascii="Times New Roman" w:hAnsi="Times New Roman" w:cs="Times New Roman"/>
          <w:vertAlign w:val="superscript"/>
        </w:rPr>
        <w:t>®</w:t>
      </w:r>
      <w:r w:rsidR="002F40FB" w:rsidRPr="002F40FB">
        <w:rPr>
          <w:rFonts w:ascii="Times New Roman" w:hAnsi="Times New Roman" w:cs="Times New Roman"/>
        </w:rPr>
        <w:t> program.</w:t>
      </w:r>
      <w:r w:rsidR="008358C3" w:rsidRPr="00C607C1">
        <w:rPr>
          <w:rFonts w:ascii="Times New Roman" w:hAnsi="Times New Roman" w:cs="Times New Roman"/>
          <w:lang w:val="en"/>
        </w:rPr>
        <w:t xml:space="preserve"> </w:t>
      </w:r>
      <w:r w:rsidR="00AE66DA" w:rsidRPr="00AE66DA">
        <w:rPr>
          <w:rFonts w:ascii="Times New Roman" w:hAnsi="Times New Roman" w:cs="Times New Roman"/>
          <w:lang w:val="en"/>
        </w:rPr>
        <w:t xml:space="preserve"> </w:t>
      </w:r>
      <w:r w:rsidR="00AE66DA" w:rsidRPr="00C607C1">
        <w:rPr>
          <w:rFonts w:ascii="Times New Roman" w:hAnsi="Times New Roman" w:cs="Times New Roman"/>
          <w:lang w:val="en"/>
        </w:rPr>
        <w:t>In 2021, Forbes named UAB America’s #1 Best Large Employer</w:t>
      </w:r>
      <w:r w:rsidR="00AE66DA">
        <w:rPr>
          <w:rFonts w:ascii="Times New Roman" w:hAnsi="Times New Roman" w:cs="Times New Roman"/>
        </w:rPr>
        <w:t xml:space="preserve">.  </w:t>
      </w:r>
      <w:r w:rsidR="00AE66DA" w:rsidRPr="00C607C1">
        <w:rPr>
          <w:rFonts w:ascii="Times New Roman" w:hAnsi="Times New Roman" w:cs="Times New Roman"/>
          <w:lang w:val="en"/>
        </w:rPr>
        <w:t xml:space="preserve">The Association of Public Land-grant Universities also designated UAB as an Innovation and Economic Prosperity University in 2020. </w:t>
      </w:r>
      <w:r w:rsidRPr="00C607C1">
        <w:rPr>
          <w:rFonts w:ascii="Times New Roman" w:hAnsi="Times New Roman" w:cs="Times New Roman"/>
        </w:rPr>
        <w:t xml:space="preserve">The University has grown from 15 blocks in 1969 to more than 100 blocks with </w:t>
      </w:r>
      <w:r w:rsidR="00DD5913" w:rsidRPr="00C607C1">
        <w:rPr>
          <w:rFonts w:ascii="Times New Roman" w:hAnsi="Times New Roman" w:cs="Times New Roman"/>
        </w:rPr>
        <w:t>over</w:t>
      </w:r>
      <w:r w:rsidRPr="00C607C1">
        <w:rPr>
          <w:rFonts w:ascii="Times New Roman" w:hAnsi="Times New Roman" w:cs="Times New Roman"/>
        </w:rPr>
        <w:t xml:space="preserve"> 200 buildings providing over 11 million square feet of space</w:t>
      </w:r>
      <w:r w:rsidR="00DD5913" w:rsidRPr="00C607C1">
        <w:rPr>
          <w:rFonts w:ascii="Times New Roman" w:hAnsi="Times New Roman" w:cs="Times New Roman"/>
        </w:rPr>
        <w:t xml:space="preserve"> currently</w:t>
      </w:r>
      <w:r w:rsidRPr="00C607C1">
        <w:rPr>
          <w:rFonts w:ascii="Times New Roman" w:hAnsi="Times New Roman" w:cs="Times New Roman"/>
        </w:rPr>
        <w:t xml:space="preserve">. UAB and the UAB Health System </w:t>
      </w:r>
      <w:r w:rsidR="00C460B5">
        <w:rPr>
          <w:rFonts w:ascii="Times New Roman" w:hAnsi="Times New Roman" w:cs="Times New Roman"/>
        </w:rPr>
        <w:t>employs more</w:t>
      </w:r>
      <w:r w:rsidRPr="00C607C1">
        <w:rPr>
          <w:rFonts w:ascii="Times New Roman" w:hAnsi="Times New Roman" w:cs="Times New Roman"/>
        </w:rPr>
        <w:t xml:space="preserve"> than</w:t>
      </w:r>
      <w:r w:rsidR="002F40FB">
        <w:rPr>
          <w:rFonts w:ascii="Times New Roman" w:hAnsi="Times New Roman" w:cs="Times New Roman"/>
        </w:rPr>
        <w:t xml:space="preserve"> </w:t>
      </w:r>
      <w:r w:rsidR="006C308D">
        <w:rPr>
          <w:rFonts w:ascii="Times New Roman" w:hAnsi="Times New Roman" w:cs="Times New Roman"/>
        </w:rPr>
        <w:t>28,000</w:t>
      </w:r>
      <w:r w:rsidRPr="00C607C1">
        <w:rPr>
          <w:rFonts w:ascii="Times New Roman" w:hAnsi="Times New Roman" w:cs="Times New Roman"/>
        </w:rPr>
        <w:t xml:space="preserve"> </w:t>
      </w:r>
      <w:r w:rsidR="00A74EBB" w:rsidRPr="00A74EBB">
        <w:rPr>
          <w:rFonts w:ascii="Times New Roman" w:hAnsi="Times New Roman" w:cs="Times New Roman"/>
        </w:rPr>
        <w:t>people across its university and hospital entities</w:t>
      </w:r>
      <w:r w:rsidRPr="00C607C1">
        <w:rPr>
          <w:rFonts w:ascii="Times New Roman" w:hAnsi="Times New Roman" w:cs="Times New Roman"/>
        </w:rPr>
        <w:t xml:space="preserve"> and is the largest single employer in </w:t>
      </w:r>
      <w:r w:rsidR="00DD5913" w:rsidRPr="00C607C1">
        <w:rPr>
          <w:rFonts w:ascii="Times New Roman" w:hAnsi="Times New Roman" w:cs="Times New Roman"/>
        </w:rPr>
        <w:t xml:space="preserve">the state of </w:t>
      </w:r>
      <w:r w:rsidRPr="00C607C1">
        <w:rPr>
          <w:rFonts w:ascii="Times New Roman" w:hAnsi="Times New Roman" w:cs="Times New Roman"/>
        </w:rPr>
        <w:t>Alabama with</w:t>
      </w:r>
      <w:r w:rsidRPr="00C607C1">
        <w:rPr>
          <w:rFonts w:ascii="Times New Roman" w:hAnsi="Times New Roman" w:cs="Times New Roman"/>
          <w:lang w:val="en-GB"/>
        </w:rPr>
        <w:t xml:space="preserve"> an economic impact exceeding $</w:t>
      </w:r>
      <w:r w:rsidR="008B24C9">
        <w:rPr>
          <w:rFonts w:ascii="Times New Roman" w:hAnsi="Times New Roman" w:cs="Times New Roman"/>
          <w:lang w:val="en-GB"/>
        </w:rPr>
        <w:t>12.1</w:t>
      </w:r>
      <w:r w:rsidRPr="00C607C1">
        <w:rPr>
          <w:rFonts w:ascii="Times New Roman" w:hAnsi="Times New Roman" w:cs="Times New Roman"/>
          <w:lang w:val="en-GB"/>
        </w:rPr>
        <w:t xml:space="preserve"> billion a year.</w:t>
      </w:r>
      <w:r w:rsidRPr="00C607C1">
        <w:rPr>
          <w:rFonts w:ascii="Times New Roman" w:hAnsi="Times New Roman" w:cs="Times New Roman"/>
          <w:color w:val="000000"/>
          <w:shd w:val="clear" w:color="auto" w:fill="FFFFFF"/>
        </w:rPr>
        <w:t xml:space="preserve"> </w:t>
      </w:r>
      <w:r w:rsidRPr="00C607C1">
        <w:rPr>
          <w:rFonts w:ascii="Times New Roman" w:hAnsi="Times New Roman" w:cs="Times New Roman"/>
          <w:color w:val="231F20"/>
        </w:rPr>
        <w:t xml:space="preserve">UAB's research enterprise continues to be globally renowned. </w:t>
      </w:r>
      <w:r w:rsidR="00DA2232">
        <w:rPr>
          <w:rFonts w:ascii="Times New Roman" w:hAnsi="Times New Roman" w:cs="Times New Roman"/>
          <w:color w:val="231F20"/>
        </w:rPr>
        <w:t>UAB is carrying on the most successful era of research funding in the university’s history, with research expenditures growing by 82 percent over the past decade</w:t>
      </w:r>
      <w:r w:rsidR="00C460B5">
        <w:rPr>
          <w:rFonts w:ascii="Times New Roman" w:hAnsi="Times New Roman" w:cs="Times New Roman"/>
          <w:color w:val="231F20"/>
        </w:rPr>
        <w:t xml:space="preserve">. In FY24, research expenditures </w:t>
      </w:r>
      <w:r w:rsidR="007F0235">
        <w:rPr>
          <w:rFonts w:ascii="Times New Roman" w:hAnsi="Times New Roman" w:cs="Times New Roman"/>
          <w:color w:val="231F20"/>
        </w:rPr>
        <w:t>totaled</w:t>
      </w:r>
      <w:r w:rsidR="00C460B5">
        <w:rPr>
          <w:rFonts w:ascii="Times New Roman" w:hAnsi="Times New Roman" w:cs="Times New Roman"/>
          <w:color w:val="231F20"/>
        </w:rPr>
        <w:t xml:space="preserve"> more than $865 million</w:t>
      </w:r>
      <w:r w:rsidR="00DA2232">
        <w:rPr>
          <w:rFonts w:ascii="Times New Roman" w:hAnsi="Times New Roman" w:cs="Times New Roman"/>
          <w:color w:val="231F20"/>
        </w:rPr>
        <w:t>. In funding from the National Institutes of Health (NIH), UAB ranks 13</w:t>
      </w:r>
      <w:r w:rsidR="00DA2232" w:rsidRPr="007F7DC5">
        <w:rPr>
          <w:rFonts w:ascii="Times New Roman" w:hAnsi="Times New Roman" w:cs="Times New Roman"/>
          <w:color w:val="231F20"/>
          <w:vertAlign w:val="superscript"/>
        </w:rPr>
        <w:t>th</w:t>
      </w:r>
      <w:r w:rsidR="00DA2232">
        <w:rPr>
          <w:rFonts w:ascii="Times New Roman" w:hAnsi="Times New Roman" w:cs="Times New Roman"/>
          <w:color w:val="231F20"/>
        </w:rPr>
        <w:t xml:space="preserve"> among public universities (top four percent) and 25</w:t>
      </w:r>
      <w:r w:rsidR="00DA2232" w:rsidRPr="007F7DC5">
        <w:rPr>
          <w:rFonts w:ascii="Times New Roman" w:hAnsi="Times New Roman" w:cs="Times New Roman"/>
          <w:color w:val="231F20"/>
          <w:vertAlign w:val="superscript"/>
        </w:rPr>
        <w:t>th</w:t>
      </w:r>
      <w:r w:rsidR="00DA2232">
        <w:rPr>
          <w:rFonts w:ascii="Times New Roman" w:hAnsi="Times New Roman" w:cs="Times New Roman"/>
          <w:color w:val="231F20"/>
        </w:rPr>
        <w:t xml:space="preserve"> overall (top five percent), and is among the top one percent of all NIH-funded organizations—public, private and international.</w:t>
      </w:r>
      <w:r w:rsidR="00E44E3A" w:rsidRPr="00C607C1">
        <w:rPr>
          <w:rFonts w:ascii="Times New Roman" w:hAnsi="Times New Roman" w:cs="Times New Roman"/>
          <w:color w:val="231F20"/>
        </w:rPr>
        <w:t xml:space="preserve"> </w:t>
      </w:r>
      <w:r w:rsidRPr="00C607C1">
        <w:rPr>
          <w:rFonts w:ascii="Times New Roman" w:hAnsi="Times New Roman" w:cs="Times New Roman"/>
          <w:color w:val="231F20"/>
        </w:rPr>
        <w:t>Non</w:t>
      </w:r>
      <w:r w:rsidR="008B7FBD" w:rsidRPr="00C607C1">
        <w:rPr>
          <w:rFonts w:ascii="Times New Roman" w:hAnsi="Times New Roman" w:cs="Times New Roman"/>
          <w:color w:val="231F20"/>
        </w:rPr>
        <w:t>-</w:t>
      </w:r>
      <w:r w:rsidRPr="00C607C1">
        <w:rPr>
          <w:rFonts w:ascii="Times New Roman" w:hAnsi="Times New Roman" w:cs="Times New Roman"/>
          <w:color w:val="231F20"/>
        </w:rPr>
        <w:t>federal funding sources include state agencies, local governmental agencies, and a wide variety of private and non-profit sponsors. UAB Hospital, the centerpiece of the UAB Health System, is among the 20 largest hospitals in the United States</w:t>
      </w:r>
      <w:r w:rsidR="005331F1" w:rsidRPr="00C607C1">
        <w:rPr>
          <w:rFonts w:ascii="Times New Roman" w:hAnsi="Times New Roman" w:cs="Times New Roman"/>
          <w:color w:val="231F20"/>
        </w:rPr>
        <w:t xml:space="preserve"> with 1,207 licensed beds</w:t>
      </w:r>
      <w:r w:rsidRPr="00C607C1">
        <w:rPr>
          <w:rFonts w:ascii="Times New Roman" w:hAnsi="Times New Roman" w:cs="Times New Roman"/>
          <w:color w:val="231F20"/>
        </w:rPr>
        <w:t xml:space="preserve">. UAB Hospital’s American College of Surgeons Verified Adult Level 1 Trauma Center is the only one of its kind in Alabama. UAB Hospital and </w:t>
      </w:r>
      <w:r w:rsidR="007B66F5" w:rsidRPr="00C607C1">
        <w:rPr>
          <w:rFonts w:ascii="Times New Roman" w:hAnsi="Times New Roman" w:cs="Times New Roman"/>
          <w:color w:val="231F20"/>
        </w:rPr>
        <w:t xml:space="preserve">its </w:t>
      </w:r>
      <w:r w:rsidR="005331F1" w:rsidRPr="00C607C1">
        <w:rPr>
          <w:rFonts w:ascii="Times New Roman" w:hAnsi="Times New Roman" w:cs="Times New Roman"/>
          <w:color w:val="231F20"/>
        </w:rPr>
        <w:t xml:space="preserve">ambulatory </w:t>
      </w:r>
      <w:r w:rsidRPr="00C607C1">
        <w:rPr>
          <w:rFonts w:ascii="Times New Roman" w:hAnsi="Times New Roman" w:cs="Times New Roman"/>
          <w:color w:val="231F20"/>
        </w:rPr>
        <w:t xml:space="preserve">clinics </w:t>
      </w:r>
      <w:r w:rsidR="005331F1" w:rsidRPr="00C607C1">
        <w:rPr>
          <w:rFonts w:ascii="Times New Roman" w:hAnsi="Times New Roman" w:cs="Times New Roman"/>
          <w:color w:val="231F20"/>
        </w:rPr>
        <w:t>provide health care services for more than 1.6 million patients annually</w:t>
      </w:r>
      <w:r w:rsidRPr="00C607C1">
        <w:rPr>
          <w:rFonts w:ascii="Times New Roman" w:hAnsi="Times New Roman" w:cs="Times New Roman"/>
          <w:color w:val="231F20"/>
        </w:rPr>
        <w:t xml:space="preserve">. The U.S. News &amp; World Report Best Hospitals report listed </w:t>
      </w:r>
      <w:r w:rsidR="00A74EBB">
        <w:rPr>
          <w:rFonts w:ascii="Times New Roman" w:hAnsi="Times New Roman" w:cs="Times New Roman"/>
          <w:color w:val="231F20"/>
        </w:rPr>
        <w:t>7</w:t>
      </w:r>
      <w:r w:rsidRPr="00C607C1">
        <w:rPr>
          <w:rFonts w:ascii="Times New Roman" w:hAnsi="Times New Roman" w:cs="Times New Roman"/>
          <w:color w:val="231F20"/>
        </w:rPr>
        <w:t xml:space="preserve"> of UAB’s medical specialties in the nation’s top </w:t>
      </w:r>
      <w:r w:rsidRPr="00C607C1">
        <w:rPr>
          <w:rFonts w:ascii="Times New Roman" w:hAnsi="Times New Roman" w:cs="Times New Roman"/>
        </w:rPr>
        <w:t>50 programs of their kind and named UAB</w:t>
      </w:r>
      <w:r w:rsidR="004B3AEC" w:rsidRPr="00C607C1">
        <w:rPr>
          <w:rFonts w:ascii="Times New Roman" w:hAnsi="Times New Roman" w:cs="Times New Roman"/>
        </w:rPr>
        <w:t xml:space="preserve"> </w:t>
      </w:r>
      <w:r w:rsidRPr="00C607C1">
        <w:rPr>
          <w:rFonts w:ascii="Times New Roman" w:hAnsi="Times New Roman" w:cs="Times New Roman"/>
        </w:rPr>
        <w:t>the best hospital in Alabama.</w:t>
      </w:r>
    </w:p>
    <w:p w14:paraId="47FCB039" w14:textId="36407350" w:rsidR="007F6AA5" w:rsidRPr="00C607C1" w:rsidRDefault="0087406D" w:rsidP="008B0B5C">
      <w:pPr>
        <w:rPr>
          <w:rFonts w:ascii="Times New Roman" w:hAnsi="Times New Roman" w:cs="Times New Roman"/>
        </w:rPr>
      </w:pPr>
      <w:r w:rsidRPr="00C607C1">
        <w:rPr>
          <w:rFonts w:ascii="Times New Roman" w:hAnsi="Times New Roman" w:cs="Times New Roman"/>
        </w:rPr>
        <w:t xml:space="preserve">The scientific environment provided at UAB has been cultivated and refined to ensure the success of </w:t>
      </w:r>
      <w:r w:rsidR="00AE66DA">
        <w:rPr>
          <w:rFonts w:ascii="Times New Roman" w:hAnsi="Times New Roman" w:cs="Times New Roman"/>
        </w:rPr>
        <w:t>its programs</w:t>
      </w:r>
      <w:r w:rsidRPr="00C607C1">
        <w:rPr>
          <w:rFonts w:ascii="Times New Roman" w:hAnsi="Times New Roman" w:cs="Times New Roman"/>
        </w:rPr>
        <w:t>. UAB provides outstanding institutional support in the form of state-of-the-art facilities, highly qualified staff, a supportive administrative infrastructure that functions to assist and minimize the administrative burden of the investigator, and a demonstrated collaborative spirit</w:t>
      </w:r>
      <w:r w:rsidR="00AE66DA">
        <w:rPr>
          <w:rFonts w:ascii="Times New Roman" w:hAnsi="Times New Roman" w:cs="Times New Roman"/>
        </w:rPr>
        <w:t xml:space="preserve">.  </w:t>
      </w:r>
      <w:r w:rsidRPr="00C607C1">
        <w:rPr>
          <w:rFonts w:ascii="Times New Roman" w:hAnsi="Times New Roman" w:cs="Times New Roman"/>
        </w:rPr>
        <w:t xml:space="preserve"> </w:t>
      </w:r>
      <w:r w:rsidR="00AE66DA">
        <w:rPr>
          <w:rFonts w:ascii="Times New Roman" w:hAnsi="Times New Roman" w:cs="Times New Roman"/>
        </w:rPr>
        <w:t>UAB is constantly adapting to the</w:t>
      </w:r>
      <w:r w:rsidRPr="00C607C1">
        <w:rPr>
          <w:rFonts w:ascii="Times New Roman" w:hAnsi="Times New Roman" w:cs="Times New Roman"/>
        </w:rPr>
        <w:t xml:space="preserve"> scientific environment </w:t>
      </w:r>
      <w:r w:rsidR="00AE66DA">
        <w:rPr>
          <w:rFonts w:ascii="Times New Roman" w:hAnsi="Times New Roman" w:cs="Times New Roman"/>
        </w:rPr>
        <w:t>in order</w:t>
      </w:r>
      <w:r w:rsidR="00AE66DA" w:rsidRPr="00C607C1">
        <w:rPr>
          <w:rFonts w:ascii="Times New Roman" w:hAnsi="Times New Roman" w:cs="Times New Roman"/>
        </w:rPr>
        <w:t xml:space="preserve"> </w:t>
      </w:r>
      <w:r w:rsidRPr="00C607C1">
        <w:rPr>
          <w:rFonts w:ascii="Times New Roman" w:hAnsi="Times New Roman" w:cs="Times New Roman"/>
        </w:rPr>
        <w:t xml:space="preserve">to benefit the investigators as well as the science. </w:t>
      </w:r>
    </w:p>
    <w:p w14:paraId="7AA48028" w14:textId="4D5038AF" w:rsidR="0087406D" w:rsidRPr="00C607C1" w:rsidRDefault="0087406D" w:rsidP="008B0B5C">
      <w:pPr>
        <w:rPr>
          <w:rFonts w:ascii="Times New Roman" w:hAnsi="Times New Roman" w:cs="Times New Roman"/>
          <w:b/>
          <w:bCs/>
          <w:color w:val="000000"/>
          <w:u w:val="single"/>
        </w:rPr>
      </w:pPr>
      <w:r w:rsidRPr="00C607C1">
        <w:rPr>
          <w:rFonts w:ascii="Times New Roman" w:hAnsi="Times New Roman" w:cs="Times New Roman"/>
          <w:b/>
          <w:bCs/>
          <w:snapToGrid w:val="0"/>
          <w:u w:val="single"/>
        </w:rPr>
        <w:t>School of Public Health</w:t>
      </w:r>
      <w:r w:rsidR="00597EEC" w:rsidRPr="00C607C1">
        <w:rPr>
          <w:rFonts w:ascii="Times New Roman" w:hAnsi="Times New Roman" w:cs="Times New Roman"/>
          <w:b/>
          <w:bCs/>
          <w:snapToGrid w:val="0"/>
          <w:u w:val="single"/>
        </w:rPr>
        <w:t xml:space="preserve"> </w:t>
      </w:r>
      <w:r w:rsidRPr="00C607C1">
        <w:rPr>
          <w:rFonts w:ascii="Times New Roman" w:hAnsi="Times New Roman" w:cs="Times New Roman"/>
          <w:b/>
          <w:bCs/>
          <w:snapToGrid w:val="0"/>
          <w:u w:val="single"/>
        </w:rPr>
        <w:t xml:space="preserve">- </w:t>
      </w:r>
      <w:r w:rsidRPr="00C607C1">
        <w:rPr>
          <w:rFonts w:ascii="Times New Roman" w:hAnsi="Times New Roman" w:cs="Times New Roman"/>
          <w:b/>
          <w:bCs/>
          <w:color w:val="000000"/>
          <w:u w:val="single"/>
        </w:rPr>
        <w:t>Paul C. Erwin, MD, DrPH-Dean</w:t>
      </w:r>
    </w:p>
    <w:p w14:paraId="2F5AC2BA" w14:textId="45CD49DF" w:rsidR="000F66DA" w:rsidRPr="00C607C1" w:rsidRDefault="0087406D" w:rsidP="008B0B5C">
      <w:pPr>
        <w:rPr>
          <w:rFonts w:ascii="Times New Roman" w:hAnsi="Times New Roman" w:cs="Times New Roman"/>
        </w:rPr>
      </w:pPr>
      <w:r w:rsidRPr="00C607C1">
        <w:rPr>
          <w:rFonts w:ascii="Times New Roman" w:hAnsi="Times New Roman" w:cs="Times New Roman"/>
        </w:rPr>
        <w:t xml:space="preserve">The </w:t>
      </w:r>
      <w:r w:rsidR="00597EEC" w:rsidRPr="00C607C1">
        <w:rPr>
          <w:rFonts w:ascii="Times New Roman" w:hAnsi="Times New Roman" w:cs="Times New Roman"/>
        </w:rPr>
        <w:t xml:space="preserve">School of Public Health </w:t>
      </w:r>
      <w:r w:rsidR="000B2AEE" w:rsidRPr="00C607C1">
        <w:rPr>
          <w:rFonts w:ascii="Times New Roman" w:hAnsi="Times New Roman" w:cs="Times New Roman"/>
        </w:rPr>
        <w:t xml:space="preserve">(SOPH) </w:t>
      </w:r>
      <w:r w:rsidRPr="00C607C1">
        <w:rPr>
          <w:rFonts w:ascii="Times New Roman" w:hAnsi="Times New Roman" w:cs="Times New Roman"/>
        </w:rPr>
        <w:t xml:space="preserve">at UAB is </w:t>
      </w:r>
      <w:r w:rsidR="000B2AEE" w:rsidRPr="00C607C1">
        <w:rPr>
          <w:rFonts w:ascii="Times New Roman" w:hAnsi="Times New Roman" w:cs="Times New Roman"/>
        </w:rPr>
        <w:t xml:space="preserve">the only accredited School of Public Health in Alabama </w:t>
      </w:r>
      <w:r w:rsidRPr="00C607C1">
        <w:rPr>
          <w:rFonts w:ascii="Times New Roman" w:hAnsi="Times New Roman" w:cs="Times New Roman"/>
        </w:rPr>
        <w:t>by the Council on Education for Public Health</w:t>
      </w:r>
      <w:r w:rsidR="000F66DA" w:rsidRPr="00C607C1">
        <w:rPr>
          <w:rFonts w:ascii="Times New Roman" w:hAnsi="Times New Roman" w:cs="Times New Roman"/>
        </w:rPr>
        <w:t xml:space="preserve"> (CEPH)</w:t>
      </w:r>
      <w:r w:rsidRPr="00C607C1">
        <w:rPr>
          <w:rFonts w:ascii="Times New Roman" w:hAnsi="Times New Roman" w:cs="Times New Roman"/>
        </w:rPr>
        <w:t xml:space="preserve"> which is an independent agency recognized by the US Department of Education to accredit schools of public health</w:t>
      </w:r>
      <w:r w:rsidR="000B2AEE" w:rsidRPr="00C607C1">
        <w:rPr>
          <w:rFonts w:ascii="Times New Roman" w:hAnsi="Times New Roman" w:cs="Times New Roman"/>
        </w:rPr>
        <w:t xml:space="preserve">. </w:t>
      </w:r>
      <w:r w:rsidRPr="00C607C1">
        <w:rPr>
          <w:rFonts w:ascii="Times New Roman" w:hAnsi="Times New Roman" w:cs="Times New Roman"/>
        </w:rPr>
        <w:t xml:space="preserve">UAB </w:t>
      </w:r>
      <w:r w:rsidR="000B2AEE" w:rsidRPr="00C607C1">
        <w:rPr>
          <w:rFonts w:ascii="Times New Roman" w:hAnsi="Times New Roman" w:cs="Times New Roman"/>
        </w:rPr>
        <w:t xml:space="preserve">SOPH </w:t>
      </w:r>
      <w:r w:rsidRPr="00C607C1">
        <w:rPr>
          <w:rFonts w:ascii="Times New Roman" w:hAnsi="Times New Roman" w:cs="Times New Roman"/>
        </w:rPr>
        <w:t xml:space="preserve">is comprised of about </w:t>
      </w:r>
      <w:r w:rsidR="00BF34EF">
        <w:rPr>
          <w:rFonts w:ascii="Times New Roman" w:hAnsi="Times New Roman" w:cs="Times New Roman"/>
        </w:rPr>
        <w:t>9</w:t>
      </w:r>
      <w:r w:rsidR="00BF34EF" w:rsidRPr="00C607C1">
        <w:rPr>
          <w:rFonts w:ascii="Times New Roman" w:hAnsi="Times New Roman" w:cs="Times New Roman"/>
        </w:rPr>
        <w:t xml:space="preserve">0 </w:t>
      </w:r>
      <w:r w:rsidR="00C11D3A" w:rsidRPr="00C607C1">
        <w:rPr>
          <w:rFonts w:ascii="Times New Roman" w:hAnsi="Times New Roman" w:cs="Times New Roman"/>
        </w:rPr>
        <w:t xml:space="preserve">full-time </w:t>
      </w:r>
      <w:r w:rsidRPr="00C607C1">
        <w:rPr>
          <w:rFonts w:ascii="Times New Roman" w:hAnsi="Times New Roman" w:cs="Times New Roman"/>
        </w:rPr>
        <w:t xml:space="preserve">faculty members complemented by </w:t>
      </w:r>
      <w:r w:rsidR="00BF34EF">
        <w:rPr>
          <w:rFonts w:ascii="Times New Roman" w:hAnsi="Times New Roman" w:cs="Times New Roman"/>
        </w:rPr>
        <w:t xml:space="preserve">an </w:t>
      </w:r>
      <w:r w:rsidR="00BF34EF">
        <w:rPr>
          <w:rFonts w:ascii="Times New Roman" w:hAnsi="Times New Roman" w:cs="Times New Roman"/>
        </w:rPr>
        <w:lastRenderedPageBreak/>
        <w:t>additional</w:t>
      </w:r>
      <w:r w:rsidR="00BF34EF" w:rsidRPr="00C607C1">
        <w:rPr>
          <w:rFonts w:ascii="Times New Roman" w:hAnsi="Times New Roman" w:cs="Times New Roman"/>
        </w:rPr>
        <w:t xml:space="preserve"> </w:t>
      </w:r>
      <w:r w:rsidRPr="00C607C1">
        <w:rPr>
          <w:rFonts w:ascii="Times New Roman" w:hAnsi="Times New Roman" w:cs="Times New Roman"/>
        </w:rPr>
        <w:t xml:space="preserve">100 part-time and volunteer faculty in Departments of Epidemiology, Biostatistics, Environmental Health Sciences, Health Behavior, and Health </w:t>
      </w:r>
      <w:r w:rsidR="00F21BC3" w:rsidRPr="00C607C1">
        <w:rPr>
          <w:rFonts w:ascii="Times New Roman" w:hAnsi="Times New Roman" w:cs="Times New Roman"/>
        </w:rPr>
        <w:t>Policy and</w:t>
      </w:r>
      <w:r w:rsidRPr="00C607C1">
        <w:rPr>
          <w:rFonts w:ascii="Times New Roman" w:hAnsi="Times New Roman" w:cs="Times New Roman"/>
        </w:rPr>
        <w:t xml:space="preserve"> Organization. </w:t>
      </w:r>
      <w:r w:rsidR="00F21BC3" w:rsidRPr="00C607C1">
        <w:rPr>
          <w:rFonts w:ascii="Times New Roman" w:hAnsi="Times New Roman" w:cs="Times New Roman"/>
        </w:rPr>
        <w:t>T</w:t>
      </w:r>
      <w:r w:rsidRPr="00C607C1">
        <w:rPr>
          <w:rFonts w:ascii="Times New Roman" w:hAnsi="Times New Roman" w:cs="Times New Roman"/>
        </w:rPr>
        <w:t>he UAB</w:t>
      </w:r>
      <w:r w:rsidR="000B2AEE" w:rsidRPr="00C607C1">
        <w:rPr>
          <w:rFonts w:ascii="Times New Roman" w:hAnsi="Times New Roman" w:cs="Times New Roman"/>
        </w:rPr>
        <w:t xml:space="preserve"> SOPH</w:t>
      </w:r>
      <w:r w:rsidR="00597EEC" w:rsidRPr="00C607C1">
        <w:rPr>
          <w:rFonts w:ascii="Times New Roman" w:hAnsi="Times New Roman" w:cs="Times New Roman"/>
        </w:rPr>
        <w:t xml:space="preserve"> </w:t>
      </w:r>
      <w:r w:rsidR="00F21BC3" w:rsidRPr="00C607C1">
        <w:rPr>
          <w:rFonts w:ascii="Times New Roman" w:hAnsi="Times New Roman" w:cs="Times New Roman"/>
        </w:rPr>
        <w:t>awards</w:t>
      </w:r>
      <w:r w:rsidRPr="00C607C1">
        <w:rPr>
          <w:rFonts w:ascii="Times New Roman" w:hAnsi="Times New Roman" w:cs="Times New Roman"/>
        </w:rPr>
        <w:t xml:space="preserve"> </w:t>
      </w:r>
      <w:r w:rsidR="007F6AA5" w:rsidRPr="00C607C1">
        <w:rPr>
          <w:rFonts w:ascii="Times New Roman" w:hAnsi="Times New Roman" w:cs="Times New Roman"/>
        </w:rPr>
        <w:t xml:space="preserve">a </w:t>
      </w:r>
      <w:r w:rsidR="00677BBA" w:rsidRPr="00C607C1">
        <w:rPr>
          <w:rFonts w:ascii="Times New Roman" w:hAnsi="Times New Roman" w:cs="Times New Roman"/>
        </w:rPr>
        <w:t>Bachelor of Science</w:t>
      </w:r>
      <w:r w:rsidR="00C11D3A" w:rsidRPr="00C607C1">
        <w:rPr>
          <w:rFonts w:ascii="Times New Roman" w:hAnsi="Times New Roman" w:cs="Times New Roman"/>
        </w:rPr>
        <w:t xml:space="preserve"> (BS)</w:t>
      </w:r>
      <w:r w:rsidRPr="00C607C1">
        <w:rPr>
          <w:rFonts w:ascii="Times New Roman" w:hAnsi="Times New Roman" w:cs="Times New Roman"/>
        </w:rPr>
        <w:t xml:space="preserve">, </w:t>
      </w:r>
      <w:r w:rsidR="00677BBA" w:rsidRPr="00C607C1">
        <w:rPr>
          <w:rFonts w:ascii="Times New Roman" w:hAnsi="Times New Roman" w:cs="Times New Roman"/>
        </w:rPr>
        <w:t>Master of Public Health</w:t>
      </w:r>
      <w:r w:rsidR="00C11D3A" w:rsidRPr="00C607C1">
        <w:rPr>
          <w:rFonts w:ascii="Times New Roman" w:hAnsi="Times New Roman" w:cs="Times New Roman"/>
        </w:rPr>
        <w:t xml:space="preserve"> (MPH)</w:t>
      </w:r>
      <w:r w:rsidRPr="00C607C1">
        <w:rPr>
          <w:rFonts w:ascii="Times New Roman" w:hAnsi="Times New Roman" w:cs="Times New Roman"/>
        </w:rPr>
        <w:t xml:space="preserve">, </w:t>
      </w:r>
      <w:r w:rsidR="00677BBA" w:rsidRPr="00C607C1">
        <w:rPr>
          <w:rFonts w:ascii="Times New Roman" w:hAnsi="Times New Roman" w:cs="Times New Roman"/>
        </w:rPr>
        <w:t>Master of Science</w:t>
      </w:r>
      <w:r w:rsidRPr="00C607C1">
        <w:rPr>
          <w:rFonts w:ascii="Times New Roman" w:hAnsi="Times New Roman" w:cs="Times New Roman"/>
        </w:rPr>
        <w:t xml:space="preserve"> in </w:t>
      </w:r>
      <w:r w:rsidR="00677BBA" w:rsidRPr="00C607C1">
        <w:rPr>
          <w:rFonts w:ascii="Times New Roman" w:hAnsi="Times New Roman" w:cs="Times New Roman"/>
        </w:rPr>
        <w:t>P</w:t>
      </w:r>
      <w:r w:rsidRPr="00C607C1">
        <w:rPr>
          <w:rFonts w:ascii="Times New Roman" w:hAnsi="Times New Roman" w:cs="Times New Roman"/>
        </w:rPr>
        <w:t xml:space="preserve">ublic </w:t>
      </w:r>
      <w:r w:rsidR="00677BBA" w:rsidRPr="00C607C1">
        <w:rPr>
          <w:rFonts w:ascii="Times New Roman" w:hAnsi="Times New Roman" w:cs="Times New Roman"/>
        </w:rPr>
        <w:t>H</w:t>
      </w:r>
      <w:r w:rsidRPr="00C607C1">
        <w:rPr>
          <w:rFonts w:ascii="Times New Roman" w:hAnsi="Times New Roman" w:cs="Times New Roman"/>
        </w:rPr>
        <w:t>ealth</w:t>
      </w:r>
      <w:r w:rsidR="00C11D3A" w:rsidRPr="00C607C1">
        <w:rPr>
          <w:rFonts w:ascii="Times New Roman" w:hAnsi="Times New Roman" w:cs="Times New Roman"/>
        </w:rPr>
        <w:t xml:space="preserve"> (MSPH)</w:t>
      </w:r>
      <w:r w:rsidRPr="00C607C1">
        <w:rPr>
          <w:rFonts w:ascii="Times New Roman" w:hAnsi="Times New Roman" w:cs="Times New Roman"/>
        </w:rPr>
        <w:t xml:space="preserve">, </w:t>
      </w:r>
      <w:r w:rsidR="00677BBA" w:rsidRPr="00C607C1">
        <w:rPr>
          <w:rFonts w:ascii="Times New Roman" w:hAnsi="Times New Roman" w:cs="Times New Roman"/>
        </w:rPr>
        <w:t>Doctor of Public Health</w:t>
      </w:r>
      <w:r w:rsidR="00C11D3A" w:rsidRPr="00C607C1">
        <w:rPr>
          <w:rFonts w:ascii="Times New Roman" w:hAnsi="Times New Roman" w:cs="Times New Roman"/>
        </w:rPr>
        <w:t xml:space="preserve"> (DrPH)</w:t>
      </w:r>
      <w:r w:rsidRPr="00C607C1">
        <w:rPr>
          <w:rFonts w:ascii="Times New Roman" w:hAnsi="Times New Roman" w:cs="Times New Roman"/>
        </w:rPr>
        <w:t xml:space="preserve">, and </w:t>
      </w:r>
      <w:r w:rsidR="00677BBA" w:rsidRPr="00C607C1">
        <w:rPr>
          <w:rFonts w:ascii="Times New Roman" w:hAnsi="Times New Roman" w:cs="Times New Roman"/>
        </w:rPr>
        <w:t>Doctor of Philosophy</w:t>
      </w:r>
      <w:r w:rsidR="00C11D3A" w:rsidRPr="00C607C1">
        <w:rPr>
          <w:rFonts w:ascii="Times New Roman" w:hAnsi="Times New Roman" w:cs="Times New Roman"/>
        </w:rPr>
        <w:t xml:space="preserve"> (PhD)</w:t>
      </w:r>
      <w:r w:rsidRPr="00C607C1">
        <w:rPr>
          <w:rFonts w:ascii="Times New Roman" w:hAnsi="Times New Roman" w:cs="Times New Roman"/>
        </w:rPr>
        <w:t xml:space="preserve"> degrees. </w:t>
      </w:r>
      <w:r w:rsidR="000F66DA" w:rsidRPr="00C607C1">
        <w:rPr>
          <w:rFonts w:ascii="Times New Roman" w:hAnsi="Times New Roman" w:cs="Times New Roman"/>
        </w:rPr>
        <w:t>Online degree programs are also offered- MPH in Environmental Health &amp; Toxicology (ENHQ); MPH in Occupational Health and Safety (OHSQ Online MPH in Health Care Organization (HCOP); MPH in Maternal &amp; Child Health Policy &amp; Leadership (MCPL); and Coordinated MPH in Maternal &amp; Child Health Policy &amp; Leadership/Master of Social Work Online. U</w:t>
      </w:r>
      <w:r w:rsidR="00C11D3A" w:rsidRPr="00C607C1">
        <w:rPr>
          <w:rFonts w:ascii="Times New Roman" w:hAnsi="Times New Roman" w:cs="Times New Roman"/>
        </w:rPr>
        <w:t>.</w:t>
      </w:r>
      <w:r w:rsidR="000F66DA" w:rsidRPr="00C607C1">
        <w:rPr>
          <w:rFonts w:ascii="Times New Roman" w:hAnsi="Times New Roman" w:cs="Times New Roman"/>
        </w:rPr>
        <w:t>S</w:t>
      </w:r>
      <w:r w:rsidR="00C11D3A" w:rsidRPr="00C607C1">
        <w:rPr>
          <w:rFonts w:ascii="Times New Roman" w:hAnsi="Times New Roman" w:cs="Times New Roman"/>
        </w:rPr>
        <w:t>.</w:t>
      </w:r>
      <w:r w:rsidR="000F66DA" w:rsidRPr="00C607C1">
        <w:rPr>
          <w:rFonts w:ascii="Times New Roman" w:hAnsi="Times New Roman" w:cs="Times New Roman"/>
        </w:rPr>
        <w:t xml:space="preserve"> News and World Report consistently includes the UAB SOPH in the top </w:t>
      </w:r>
      <w:r w:rsidR="00C959E8">
        <w:rPr>
          <w:rFonts w:ascii="Times New Roman" w:hAnsi="Times New Roman" w:cs="Times New Roman"/>
        </w:rPr>
        <w:t>15</w:t>
      </w:r>
      <w:r w:rsidR="000F66DA" w:rsidRPr="00C607C1">
        <w:rPr>
          <w:rFonts w:ascii="Times New Roman" w:hAnsi="Times New Roman" w:cs="Times New Roman"/>
        </w:rPr>
        <w:t xml:space="preserve"> Public </w:t>
      </w:r>
      <w:r w:rsidR="00C11D3A" w:rsidRPr="00C607C1">
        <w:rPr>
          <w:rFonts w:ascii="Times New Roman" w:hAnsi="Times New Roman" w:cs="Times New Roman"/>
        </w:rPr>
        <w:t xml:space="preserve">Health </w:t>
      </w:r>
      <w:r w:rsidR="000F66DA" w:rsidRPr="00C607C1">
        <w:rPr>
          <w:rFonts w:ascii="Times New Roman" w:hAnsi="Times New Roman" w:cs="Times New Roman"/>
        </w:rPr>
        <w:t>Schools in the United States. </w:t>
      </w:r>
      <w:r w:rsidR="00E6089D" w:rsidRPr="00C607C1">
        <w:rPr>
          <w:rFonts w:ascii="Times New Roman" w:hAnsi="Times New Roman" w:cs="Times New Roman"/>
        </w:rPr>
        <w:t>In 20</w:t>
      </w:r>
      <w:r w:rsidR="00BF34EF">
        <w:rPr>
          <w:rFonts w:ascii="Times New Roman" w:hAnsi="Times New Roman" w:cs="Times New Roman"/>
        </w:rPr>
        <w:t>2</w:t>
      </w:r>
      <w:r w:rsidR="008B24C9">
        <w:rPr>
          <w:rFonts w:ascii="Times New Roman" w:hAnsi="Times New Roman" w:cs="Times New Roman"/>
        </w:rPr>
        <w:t>5</w:t>
      </w:r>
      <w:r w:rsidR="00E6089D" w:rsidRPr="00C607C1">
        <w:rPr>
          <w:rFonts w:ascii="Times New Roman" w:hAnsi="Times New Roman" w:cs="Times New Roman"/>
        </w:rPr>
        <w:t xml:space="preserve">, U.S. News &amp; World Report recognized UAB as </w:t>
      </w:r>
      <w:r w:rsidR="0002355D" w:rsidRPr="00C607C1">
        <w:rPr>
          <w:rFonts w:ascii="Times New Roman" w:hAnsi="Times New Roman" w:cs="Times New Roman"/>
        </w:rPr>
        <w:t xml:space="preserve">No. </w:t>
      </w:r>
      <w:r w:rsidR="00E6089D" w:rsidRPr="00C607C1">
        <w:rPr>
          <w:rFonts w:ascii="Times New Roman" w:hAnsi="Times New Roman" w:cs="Times New Roman"/>
        </w:rPr>
        <w:t>1</w:t>
      </w:r>
      <w:r w:rsidR="008B24C9">
        <w:rPr>
          <w:rFonts w:ascii="Times New Roman" w:hAnsi="Times New Roman" w:cs="Times New Roman"/>
        </w:rPr>
        <w:t>5</w:t>
      </w:r>
      <w:r w:rsidR="00E6089D" w:rsidRPr="00C607C1">
        <w:rPr>
          <w:rFonts w:ascii="Times New Roman" w:hAnsi="Times New Roman" w:cs="Times New Roman"/>
        </w:rPr>
        <w:t xml:space="preserve"> </w:t>
      </w:r>
      <w:r w:rsidR="00FF5665" w:rsidRPr="00C607C1">
        <w:rPr>
          <w:rFonts w:ascii="Times New Roman" w:hAnsi="Times New Roman" w:cs="Times New Roman"/>
        </w:rPr>
        <w:t xml:space="preserve">for </w:t>
      </w:r>
      <w:r w:rsidR="00E6089D" w:rsidRPr="00C607C1">
        <w:rPr>
          <w:rFonts w:ascii="Times New Roman" w:hAnsi="Times New Roman" w:cs="Times New Roman"/>
        </w:rPr>
        <w:t>Public Health Schools</w:t>
      </w:r>
      <w:r w:rsidR="000611C3" w:rsidRPr="00C607C1">
        <w:rPr>
          <w:rFonts w:ascii="Times New Roman" w:hAnsi="Times New Roman" w:cs="Times New Roman"/>
        </w:rPr>
        <w:t>; with</w:t>
      </w:r>
      <w:r w:rsidR="00E6089D" w:rsidRPr="00C607C1">
        <w:rPr>
          <w:rFonts w:ascii="Times New Roman" w:hAnsi="Times New Roman" w:cs="Times New Roman"/>
        </w:rPr>
        <w:t xml:space="preserve"> the departments </w:t>
      </w:r>
      <w:r w:rsidR="000611C3" w:rsidRPr="00C607C1">
        <w:rPr>
          <w:rFonts w:ascii="Times New Roman" w:hAnsi="Times New Roman" w:cs="Times New Roman"/>
        </w:rPr>
        <w:t>being</w:t>
      </w:r>
      <w:r w:rsidR="00E6089D" w:rsidRPr="00C607C1">
        <w:rPr>
          <w:rFonts w:ascii="Times New Roman" w:hAnsi="Times New Roman" w:cs="Times New Roman"/>
        </w:rPr>
        <w:t xml:space="preserve"> </w:t>
      </w:r>
      <w:r w:rsidR="000611C3" w:rsidRPr="00C607C1">
        <w:rPr>
          <w:rFonts w:ascii="Times New Roman" w:hAnsi="Times New Roman" w:cs="Times New Roman"/>
        </w:rPr>
        <w:t>recognized as</w:t>
      </w:r>
      <w:r w:rsidR="00E6089D" w:rsidRPr="00C607C1">
        <w:rPr>
          <w:rFonts w:ascii="Times New Roman" w:hAnsi="Times New Roman" w:cs="Times New Roman"/>
        </w:rPr>
        <w:t xml:space="preserve"> No. 1</w:t>
      </w:r>
      <w:r w:rsidR="00C959E8">
        <w:rPr>
          <w:rFonts w:ascii="Times New Roman" w:hAnsi="Times New Roman" w:cs="Times New Roman"/>
        </w:rPr>
        <w:t>8</w:t>
      </w:r>
      <w:r w:rsidR="00E6089D" w:rsidRPr="00C607C1">
        <w:rPr>
          <w:rFonts w:ascii="Times New Roman" w:hAnsi="Times New Roman" w:cs="Times New Roman"/>
        </w:rPr>
        <w:t xml:space="preserve"> in Best Biostatistics Programs, No. </w:t>
      </w:r>
      <w:r w:rsidR="00C959E8">
        <w:rPr>
          <w:rFonts w:ascii="Times New Roman" w:hAnsi="Times New Roman" w:cs="Times New Roman"/>
        </w:rPr>
        <w:t>22</w:t>
      </w:r>
      <w:r w:rsidR="00E6089D" w:rsidRPr="00C607C1">
        <w:rPr>
          <w:rFonts w:ascii="Times New Roman" w:hAnsi="Times New Roman" w:cs="Times New Roman"/>
        </w:rPr>
        <w:t xml:space="preserve"> for Best Epidemiology Programs, No. 1</w:t>
      </w:r>
      <w:r w:rsidR="00C959E8">
        <w:rPr>
          <w:rFonts w:ascii="Times New Roman" w:hAnsi="Times New Roman" w:cs="Times New Roman"/>
        </w:rPr>
        <w:t>5</w:t>
      </w:r>
      <w:r w:rsidR="00E6089D" w:rsidRPr="00C607C1">
        <w:rPr>
          <w:rFonts w:ascii="Times New Roman" w:hAnsi="Times New Roman" w:cs="Times New Roman"/>
        </w:rPr>
        <w:t xml:space="preserve"> for Best Health Policy and Management Programs, and No. </w:t>
      </w:r>
      <w:r w:rsidR="00C959E8">
        <w:rPr>
          <w:rFonts w:ascii="Times New Roman" w:hAnsi="Times New Roman" w:cs="Times New Roman"/>
        </w:rPr>
        <w:t>17</w:t>
      </w:r>
      <w:r w:rsidR="00E6089D" w:rsidRPr="00C607C1">
        <w:rPr>
          <w:rFonts w:ascii="Times New Roman" w:hAnsi="Times New Roman" w:cs="Times New Roman"/>
        </w:rPr>
        <w:t xml:space="preserve"> for Best Social and Behavioral Sciences Programs.</w:t>
      </w:r>
    </w:p>
    <w:p w14:paraId="0580D41B" w14:textId="7298200E" w:rsidR="000F66DA" w:rsidRPr="00C607C1" w:rsidRDefault="000F66DA" w:rsidP="008B0B5C">
      <w:pPr>
        <w:rPr>
          <w:rStyle w:val="eop"/>
          <w:rFonts w:ascii="Times New Roman" w:hAnsi="Times New Roman" w:cs="Times New Roman"/>
        </w:rPr>
      </w:pPr>
      <w:r w:rsidRPr="00C607C1">
        <w:rPr>
          <w:rStyle w:val="normaltextrun"/>
          <w:rFonts w:ascii="Times New Roman" w:hAnsi="Times New Roman" w:cs="Times New Roman"/>
        </w:rPr>
        <w:t xml:space="preserve">UAB SOPH has an increasingly broad and skilled faculty that provides leadership and support for several key national and international health initiatives while undertaking an array of important research projects. The </w:t>
      </w:r>
      <w:r w:rsidR="008B24C9" w:rsidRPr="00C607C1">
        <w:rPr>
          <w:rStyle w:val="normaltextrun"/>
          <w:rFonts w:ascii="Times New Roman" w:hAnsi="Times New Roman" w:cs="Times New Roman"/>
        </w:rPr>
        <w:t>school</w:t>
      </w:r>
      <w:r w:rsidRPr="00C607C1">
        <w:rPr>
          <w:rStyle w:val="normaltextrun"/>
          <w:rFonts w:ascii="Times New Roman" w:hAnsi="Times New Roman" w:cs="Times New Roman"/>
        </w:rPr>
        <w:t xml:space="preserve"> is second only to the School of Medicine at UAB for extramural research funding among all 12 schools at UAB. In </w:t>
      </w:r>
      <w:r w:rsidR="00AD69EC" w:rsidRPr="00C607C1">
        <w:rPr>
          <w:rStyle w:val="normaltextrun"/>
          <w:rFonts w:ascii="Times New Roman" w:hAnsi="Times New Roman" w:cs="Times New Roman"/>
        </w:rPr>
        <w:t>202</w:t>
      </w:r>
      <w:r w:rsidR="008B24C9">
        <w:rPr>
          <w:rStyle w:val="normaltextrun"/>
          <w:rFonts w:ascii="Times New Roman" w:hAnsi="Times New Roman" w:cs="Times New Roman"/>
        </w:rPr>
        <w:t>4</w:t>
      </w:r>
      <w:r w:rsidRPr="00C607C1">
        <w:rPr>
          <w:rStyle w:val="normaltextrun"/>
          <w:rFonts w:ascii="Times New Roman" w:hAnsi="Times New Roman" w:cs="Times New Roman"/>
        </w:rPr>
        <w:t>, the UAB SOPH had more than $</w:t>
      </w:r>
      <w:r w:rsidR="008B24C9">
        <w:rPr>
          <w:rStyle w:val="normaltextrun"/>
          <w:rFonts w:ascii="Times New Roman" w:hAnsi="Times New Roman" w:cs="Times New Roman"/>
        </w:rPr>
        <w:t>80</w:t>
      </w:r>
      <w:r w:rsidR="00AD69EC" w:rsidRPr="00C607C1">
        <w:rPr>
          <w:rStyle w:val="normaltextrun"/>
          <w:rFonts w:ascii="Times New Roman" w:hAnsi="Times New Roman" w:cs="Times New Roman"/>
        </w:rPr>
        <w:t xml:space="preserve"> </w:t>
      </w:r>
      <w:r w:rsidRPr="00C607C1">
        <w:rPr>
          <w:rStyle w:val="normaltextrun"/>
          <w:rFonts w:ascii="Times New Roman" w:hAnsi="Times New Roman" w:cs="Times New Roman"/>
        </w:rPr>
        <w:t>million in grants and contracts</w:t>
      </w:r>
      <w:r w:rsidR="007F0235">
        <w:rPr>
          <w:rStyle w:val="normaltextrun"/>
          <w:rFonts w:ascii="Times New Roman" w:hAnsi="Times New Roman" w:cs="Times New Roman"/>
        </w:rPr>
        <w:t xml:space="preserve"> and totaled more than $640 million in research expenditures</w:t>
      </w:r>
      <w:r w:rsidRPr="00C607C1">
        <w:rPr>
          <w:rStyle w:val="normaltextrun"/>
          <w:rFonts w:ascii="Times New Roman" w:hAnsi="Times New Roman" w:cs="Times New Roman"/>
        </w:rPr>
        <w:t xml:space="preserve">. </w:t>
      </w:r>
      <w:r w:rsidR="00677BBA" w:rsidRPr="00C607C1">
        <w:rPr>
          <w:rStyle w:val="normaltextrun"/>
          <w:rFonts w:ascii="Times New Roman" w:hAnsi="Times New Roman" w:cs="Times New Roman"/>
        </w:rPr>
        <w:t>In 202</w:t>
      </w:r>
      <w:r w:rsidR="00046464">
        <w:rPr>
          <w:rStyle w:val="normaltextrun"/>
          <w:rFonts w:ascii="Times New Roman" w:hAnsi="Times New Roman" w:cs="Times New Roman"/>
        </w:rPr>
        <w:t>4</w:t>
      </w:r>
      <w:r w:rsidR="00677BBA" w:rsidRPr="00C607C1">
        <w:rPr>
          <w:rStyle w:val="normaltextrun"/>
          <w:rFonts w:ascii="Times New Roman" w:hAnsi="Times New Roman" w:cs="Times New Roman"/>
        </w:rPr>
        <w:t xml:space="preserve">, UAB SOPH ranked </w:t>
      </w:r>
      <w:r w:rsidR="00BF34EF">
        <w:rPr>
          <w:rStyle w:val="normaltextrun"/>
          <w:rFonts w:ascii="Times New Roman" w:hAnsi="Times New Roman" w:cs="Times New Roman"/>
        </w:rPr>
        <w:t>17</w:t>
      </w:r>
      <w:r w:rsidR="00677BBA" w:rsidRPr="00C607C1">
        <w:rPr>
          <w:rStyle w:val="normaltextrun"/>
          <w:rFonts w:ascii="Times New Roman" w:hAnsi="Times New Roman" w:cs="Times New Roman"/>
        </w:rPr>
        <w:t xml:space="preserve">th </w:t>
      </w:r>
      <w:r w:rsidR="00444D75" w:rsidRPr="00C607C1">
        <w:rPr>
          <w:rStyle w:val="normaltextrun"/>
          <w:rFonts w:ascii="Times New Roman" w:hAnsi="Times New Roman" w:cs="Times New Roman"/>
        </w:rPr>
        <w:t xml:space="preserve">among All Schools of Public Health and </w:t>
      </w:r>
      <w:r w:rsidR="00BF34EF">
        <w:rPr>
          <w:rStyle w:val="normaltextrun"/>
          <w:rFonts w:ascii="Times New Roman" w:hAnsi="Times New Roman" w:cs="Times New Roman"/>
        </w:rPr>
        <w:t>9</w:t>
      </w:r>
      <w:r w:rsidR="00444D75" w:rsidRPr="00C607C1">
        <w:rPr>
          <w:rStyle w:val="normaltextrun"/>
          <w:rFonts w:ascii="Times New Roman" w:hAnsi="Times New Roman" w:cs="Times New Roman"/>
        </w:rPr>
        <w:t>th for All</w:t>
      </w:r>
      <w:r w:rsidR="00677BBA" w:rsidRPr="00C607C1">
        <w:rPr>
          <w:rStyle w:val="normaltextrun"/>
          <w:rFonts w:ascii="Times New Roman" w:hAnsi="Times New Roman" w:cs="Times New Roman"/>
        </w:rPr>
        <w:t xml:space="preserve"> </w:t>
      </w:r>
      <w:r w:rsidR="00444D75" w:rsidRPr="00C607C1">
        <w:rPr>
          <w:rStyle w:val="normaltextrun"/>
          <w:rFonts w:ascii="Times New Roman" w:hAnsi="Times New Roman" w:cs="Times New Roman"/>
        </w:rPr>
        <w:t>Public Schools of Public Health for NIH funding. The School</w:t>
      </w:r>
      <w:r w:rsidRPr="00C607C1">
        <w:rPr>
          <w:rStyle w:val="normaltextrun"/>
          <w:rFonts w:ascii="Times New Roman" w:hAnsi="Times New Roman" w:cs="Times New Roman"/>
        </w:rPr>
        <w:t xml:space="preserve"> serves as the </w:t>
      </w:r>
      <w:r w:rsidR="00C47DBA" w:rsidRPr="00C607C1">
        <w:rPr>
          <w:rStyle w:val="normaltextrun"/>
          <w:rFonts w:ascii="Times New Roman" w:hAnsi="Times New Roman" w:cs="Times New Roman"/>
        </w:rPr>
        <w:t xml:space="preserve">clinical or </w:t>
      </w:r>
      <w:r w:rsidRPr="00C607C1">
        <w:rPr>
          <w:rStyle w:val="normaltextrun"/>
          <w:rFonts w:ascii="Times New Roman" w:hAnsi="Times New Roman" w:cs="Times New Roman"/>
        </w:rPr>
        <w:t xml:space="preserve">coordinating center for several large, </w:t>
      </w:r>
      <w:r w:rsidR="00095ECC" w:rsidRPr="00C607C1">
        <w:rPr>
          <w:rStyle w:val="normaltextrun"/>
          <w:rFonts w:ascii="Times New Roman" w:hAnsi="Times New Roman" w:cs="Times New Roman"/>
        </w:rPr>
        <w:t>multi-site</w:t>
      </w:r>
      <w:r w:rsidRPr="00C607C1">
        <w:rPr>
          <w:rStyle w:val="normaltextrun"/>
          <w:rFonts w:ascii="Times New Roman" w:hAnsi="Times New Roman" w:cs="Times New Roman"/>
        </w:rPr>
        <w:t xml:space="preserve"> cohorts, trials, and other studies. A few examples include </w:t>
      </w:r>
      <w:r w:rsidR="00BF34EF">
        <w:rPr>
          <w:rStyle w:val="normaltextrun"/>
          <w:rFonts w:ascii="Times New Roman" w:hAnsi="Times New Roman" w:cs="Times New Roman"/>
        </w:rPr>
        <w:t xml:space="preserve">the Reasons for Geographic and Racial Differences in Stroke </w:t>
      </w:r>
      <w:r w:rsidR="00FC5A66">
        <w:rPr>
          <w:rStyle w:val="normaltextrun"/>
          <w:rFonts w:ascii="Times New Roman" w:hAnsi="Times New Roman" w:cs="Times New Roman"/>
        </w:rPr>
        <w:t>S</w:t>
      </w:r>
      <w:r w:rsidR="00BF34EF">
        <w:rPr>
          <w:rStyle w:val="normaltextrun"/>
          <w:rFonts w:ascii="Times New Roman" w:hAnsi="Times New Roman" w:cs="Times New Roman"/>
        </w:rPr>
        <w:t>tudy (</w:t>
      </w:r>
      <w:r w:rsidRPr="00C607C1">
        <w:rPr>
          <w:rStyle w:val="normaltextrun"/>
          <w:rFonts w:ascii="Times New Roman" w:hAnsi="Times New Roman" w:cs="Times New Roman"/>
        </w:rPr>
        <w:t>REGARDS</w:t>
      </w:r>
      <w:r w:rsidR="00BF34EF">
        <w:rPr>
          <w:rStyle w:val="normaltextrun"/>
          <w:rFonts w:ascii="Times New Roman" w:hAnsi="Times New Roman" w:cs="Times New Roman"/>
        </w:rPr>
        <w:t>)</w:t>
      </w:r>
      <w:r w:rsidRPr="00C607C1">
        <w:rPr>
          <w:rStyle w:val="normaltextrun"/>
          <w:rFonts w:ascii="Times New Roman" w:hAnsi="Times New Roman" w:cs="Times New Roman"/>
        </w:rPr>
        <w:t xml:space="preserve">, </w:t>
      </w:r>
      <w:r w:rsidR="00FC5A66">
        <w:rPr>
          <w:rStyle w:val="normaltextrun"/>
          <w:rFonts w:ascii="Times New Roman" w:hAnsi="Times New Roman" w:cs="Times New Roman"/>
        </w:rPr>
        <w:t>Risk Underlying Rural Areas Longitudinal Cohort Study (</w:t>
      </w:r>
      <w:r w:rsidRPr="00C607C1">
        <w:rPr>
          <w:rStyle w:val="normaltextrun"/>
          <w:rFonts w:ascii="Times New Roman" w:hAnsi="Times New Roman" w:cs="Times New Roman"/>
        </w:rPr>
        <w:t>RURAL</w:t>
      </w:r>
      <w:r w:rsidR="00FC5A66">
        <w:rPr>
          <w:rStyle w:val="normaltextrun"/>
          <w:rFonts w:ascii="Times New Roman" w:hAnsi="Times New Roman" w:cs="Times New Roman"/>
        </w:rPr>
        <w:t>)</w:t>
      </w:r>
      <w:r w:rsidRPr="00C607C1">
        <w:rPr>
          <w:rStyle w:val="normaltextrun"/>
          <w:rFonts w:ascii="Times New Roman" w:hAnsi="Times New Roman" w:cs="Times New Roman"/>
        </w:rPr>
        <w:t xml:space="preserve">, </w:t>
      </w:r>
      <w:r w:rsidR="00FC5A66">
        <w:rPr>
          <w:rStyle w:val="normaltextrun"/>
          <w:rFonts w:ascii="Times New Roman" w:hAnsi="Times New Roman" w:cs="Times New Roman"/>
        </w:rPr>
        <w:t>and Coronary Artery Risk Development in Young Adults Study (</w:t>
      </w:r>
      <w:r w:rsidRPr="00C607C1">
        <w:rPr>
          <w:rStyle w:val="normaltextrun"/>
          <w:rFonts w:ascii="Times New Roman" w:hAnsi="Times New Roman" w:cs="Times New Roman"/>
        </w:rPr>
        <w:t>CARDIA</w:t>
      </w:r>
      <w:r w:rsidR="00FC5A66">
        <w:rPr>
          <w:rStyle w:val="normaltextrun"/>
          <w:rFonts w:ascii="Times New Roman" w:hAnsi="Times New Roman" w:cs="Times New Roman"/>
        </w:rPr>
        <w:t>)</w:t>
      </w:r>
      <w:r w:rsidRPr="00C607C1">
        <w:rPr>
          <w:rStyle w:val="normaltextrun"/>
          <w:rFonts w:ascii="Times New Roman" w:hAnsi="Times New Roman" w:cs="Times New Roman"/>
        </w:rPr>
        <w:t xml:space="preserve">. The </w:t>
      </w:r>
      <w:r w:rsidR="00095ECC" w:rsidRPr="00C607C1">
        <w:rPr>
          <w:rStyle w:val="normaltextrun"/>
          <w:rFonts w:ascii="Times New Roman" w:hAnsi="Times New Roman" w:cs="Times New Roman"/>
        </w:rPr>
        <w:t>school</w:t>
      </w:r>
      <w:r w:rsidRPr="00C607C1">
        <w:rPr>
          <w:rStyle w:val="normaltextrun"/>
          <w:rFonts w:ascii="Times New Roman" w:hAnsi="Times New Roman" w:cs="Times New Roman"/>
        </w:rPr>
        <w:t xml:space="preserve"> is home to</w:t>
      </w:r>
      <w:r w:rsidR="00B46C96" w:rsidRPr="00C607C1">
        <w:rPr>
          <w:rStyle w:val="normaltextrun"/>
          <w:rFonts w:ascii="Times New Roman" w:hAnsi="Times New Roman" w:cs="Times New Roman"/>
        </w:rPr>
        <w:t xml:space="preserve"> several training grants including</w:t>
      </w:r>
      <w:r w:rsidRPr="00C607C1">
        <w:rPr>
          <w:rStyle w:val="normaltextrun"/>
          <w:rFonts w:ascii="Times New Roman" w:hAnsi="Times New Roman" w:cs="Times New Roman"/>
        </w:rPr>
        <w:t xml:space="preserve"> </w:t>
      </w:r>
      <w:r w:rsidR="00FC5A66">
        <w:rPr>
          <w:rStyle w:val="normaltextrun"/>
          <w:rFonts w:ascii="Times New Roman" w:hAnsi="Times New Roman" w:cs="Times New Roman"/>
        </w:rPr>
        <w:t>two</w:t>
      </w:r>
      <w:r w:rsidR="00FC5A66" w:rsidRPr="00C607C1">
        <w:rPr>
          <w:rStyle w:val="normaltextrun"/>
          <w:rFonts w:ascii="Times New Roman" w:hAnsi="Times New Roman" w:cs="Times New Roman"/>
        </w:rPr>
        <w:t xml:space="preserve"> </w:t>
      </w:r>
      <w:r w:rsidR="00BE4F6B" w:rsidRPr="00C607C1">
        <w:rPr>
          <w:rStyle w:val="normaltextrun"/>
          <w:rFonts w:ascii="Times New Roman" w:hAnsi="Times New Roman" w:cs="Times New Roman"/>
        </w:rPr>
        <w:t>Ruth L. Kirschstein National Research Service Award Institutional Research Training Grant for predoctoral students (T32)</w:t>
      </w:r>
      <w:r w:rsidRPr="00C607C1">
        <w:rPr>
          <w:rStyle w:val="normaltextrun"/>
          <w:rFonts w:ascii="Times New Roman" w:hAnsi="Times New Roman" w:cs="Times New Roman"/>
        </w:rPr>
        <w:t>. The five SOPH departments engage in numerous interdisciplinary training programs with the Graduate School and the various health professional schools at UAB.  </w:t>
      </w:r>
      <w:r w:rsidRPr="00C607C1">
        <w:rPr>
          <w:rStyle w:val="eop"/>
          <w:rFonts w:ascii="Times New Roman" w:hAnsi="Times New Roman" w:cs="Times New Roman"/>
        </w:rPr>
        <w:t> </w:t>
      </w:r>
    </w:p>
    <w:p w14:paraId="7C35424A" w14:textId="5939646D" w:rsidR="007F6AA5" w:rsidRPr="00C607C1" w:rsidRDefault="00A638DF" w:rsidP="008B0B5C">
      <w:pPr>
        <w:rPr>
          <w:rFonts w:ascii="Times New Roman" w:hAnsi="Times New Roman" w:cs="Times New Roman"/>
        </w:rPr>
      </w:pPr>
      <w:r w:rsidRPr="00C607C1">
        <w:rPr>
          <w:rFonts w:ascii="Times New Roman" w:hAnsi="Times New Roman" w:cs="Times New Roman"/>
        </w:rPr>
        <w:t xml:space="preserve">The </w:t>
      </w:r>
      <w:r w:rsidR="00F309B6" w:rsidRPr="00C607C1">
        <w:rPr>
          <w:rFonts w:ascii="Times New Roman" w:hAnsi="Times New Roman" w:cs="Times New Roman"/>
        </w:rPr>
        <w:t xml:space="preserve">SOPH </w:t>
      </w:r>
      <w:r w:rsidRPr="00C607C1">
        <w:rPr>
          <w:rFonts w:ascii="Times New Roman" w:hAnsi="Times New Roman" w:cs="Times New Roman"/>
        </w:rPr>
        <w:t xml:space="preserve">is home to </w:t>
      </w:r>
      <w:r w:rsidR="00826C85" w:rsidRPr="00C607C1">
        <w:rPr>
          <w:rFonts w:ascii="Times New Roman" w:hAnsi="Times New Roman" w:cs="Times New Roman"/>
        </w:rPr>
        <w:t>several</w:t>
      </w:r>
      <w:r w:rsidRPr="00C607C1">
        <w:rPr>
          <w:rFonts w:ascii="Times New Roman" w:hAnsi="Times New Roman" w:cs="Times New Roman"/>
        </w:rPr>
        <w:t xml:space="preserve"> public health practice-oriented centers including the</w:t>
      </w:r>
      <w:r w:rsidR="007F0235" w:rsidRPr="007F0235">
        <w:rPr>
          <w:rFonts w:ascii="Times New Roman" w:hAnsi="Times New Roman" w:cs="Times New Roman"/>
        </w:rPr>
        <w:t xml:space="preserve"> </w:t>
      </w:r>
      <w:r w:rsidR="007F0235" w:rsidRPr="00C607C1">
        <w:rPr>
          <w:rFonts w:ascii="Times New Roman" w:hAnsi="Times New Roman" w:cs="Times New Roman"/>
        </w:rPr>
        <w:t>Lister Hill Center for Health Policy, Sparkman Center for Global Healt</w:t>
      </w:r>
      <w:r w:rsidR="007F0235">
        <w:rPr>
          <w:rFonts w:ascii="Times New Roman" w:hAnsi="Times New Roman" w:cs="Times New Roman"/>
        </w:rPr>
        <w:t>h,</w:t>
      </w:r>
      <w:r w:rsidRPr="00C607C1">
        <w:rPr>
          <w:rFonts w:ascii="Times New Roman" w:hAnsi="Times New Roman" w:cs="Times New Roman"/>
        </w:rPr>
        <w:t xml:space="preserve"> Center for the Study of Community Health, Deep South Center for Occupational Health &amp; Safety, Region IV Public Health Training Center, and </w:t>
      </w:r>
      <w:r w:rsidR="007F0235">
        <w:rPr>
          <w:rFonts w:ascii="Times New Roman" w:hAnsi="Times New Roman" w:cs="Times New Roman"/>
        </w:rPr>
        <w:t>more</w:t>
      </w:r>
      <w:r w:rsidRPr="00C607C1">
        <w:rPr>
          <w:rFonts w:ascii="Times New Roman" w:hAnsi="Times New Roman" w:cs="Times New Roman"/>
        </w:rPr>
        <w:t>.</w:t>
      </w:r>
      <w:r w:rsidR="000F66DA" w:rsidRPr="00C607C1">
        <w:rPr>
          <w:rFonts w:ascii="Times New Roman" w:hAnsi="Times New Roman" w:cs="Times New Roman"/>
        </w:rPr>
        <w:t xml:space="preserve"> </w:t>
      </w:r>
      <w:r w:rsidR="000F66DA" w:rsidRPr="00C607C1">
        <w:rPr>
          <w:rStyle w:val="normaltextrun"/>
          <w:rFonts w:ascii="Times New Roman" w:hAnsi="Times New Roman" w:cs="Times New Roman"/>
        </w:rPr>
        <w:t xml:space="preserve">The School is also home to several groups that lead and contribute to research at UAB including the </w:t>
      </w:r>
      <w:r w:rsidR="007F0235">
        <w:rPr>
          <w:rStyle w:val="normaltextrun"/>
          <w:rFonts w:ascii="Times New Roman" w:hAnsi="Times New Roman" w:cs="Times New Roman"/>
        </w:rPr>
        <w:t xml:space="preserve">DATA Coordinating and Collaborative Research Unit, </w:t>
      </w:r>
      <w:r w:rsidR="000F66DA" w:rsidRPr="00C607C1">
        <w:rPr>
          <w:rStyle w:val="normaltextrun"/>
          <w:rFonts w:ascii="Times New Roman" w:hAnsi="Times New Roman" w:cs="Times New Roman"/>
        </w:rPr>
        <w:t xml:space="preserve">Survey Research Unit, </w:t>
      </w:r>
      <w:r w:rsidR="007F0235">
        <w:rPr>
          <w:rStyle w:val="normaltextrun"/>
          <w:rFonts w:ascii="Times New Roman" w:hAnsi="Times New Roman" w:cs="Times New Roman"/>
        </w:rPr>
        <w:t xml:space="preserve">and </w:t>
      </w:r>
      <w:r w:rsidR="000F66DA" w:rsidRPr="00C607C1">
        <w:rPr>
          <w:rStyle w:val="normaltextrun"/>
          <w:rFonts w:ascii="Times New Roman" w:hAnsi="Times New Roman" w:cs="Times New Roman"/>
        </w:rPr>
        <w:t>Applied Evaluation and Assessment Collaborative. Faculty frequently guest lecture</w:t>
      </w:r>
      <w:r w:rsidR="007F0235">
        <w:rPr>
          <w:rStyle w:val="normaltextrun"/>
          <w:rFonts w:ascii="Times New Roman" w:hAnsi="Times New Roman" w:cs="Times New Roman"/>
        </w:rPr>
        <w:t>s</w:t>
      </w:r>
      <w:r w:rsidR="000F66DA" w:rsidRPr="00C607C1">
        <w:rPr>
          <w:rStyle w:val="normaltextrun"/>
          <w:rFonts w:ascii="Times New Roman" w:hAnsi="Times New Roman" w:cs="Times New Roman"/>
        </w:rPr>
        <w:t xml:space="preserve"> in other departments, schools, and centers and utilize faculty from other departments </w:t>
      </w:r>
      <w:r w:rsidR="00826C85">
        <w:rPr>
          <w:rStyle w:val="normaltextrun"/>
          <w:rFonts w:ascii="Times New Roman" w:hAnsi="Times New Roman" w:cs="Times New Roman"/>
        </w:rPr>
        <w:t>and</w:t>
      </w:r>
      <w:r w:rsidR="000F66DA" w:rsidRPr="00C607C1">
        <w:rPr>
          <w:rStyle w:val="normaltextrun"/>
          <w:rFonts w:ascii="Times New Roman" w:hAnsi="Times New Roman" w:cs="Times New Roman"/>
        </w:rPr>
        <w:t xml:space="preserve"> public health practice partners as guest lecturers in the Master of Public Health degree curriculum. </w:t>
      </w:r>
      <w:r w:rsidR="000F351F" w:rsidRPr="00C607C1">
        <w:rPr>
          <w:rFonts w:ascii="Times New Roman" w:hAnsi="Times New Roman" w:cs="Times New Roman"/>
        </w:rPr>
        <w:t xml:space="preserve">The </w:t>
      </w:r>
      <w:r w:rsidR="0087406D" w:rsidRPr="00C607C1">
        <w:rPr>
          <w:rFonts w:ascii="Times New Roman" w:hAnsi="Times New Roman" w:cs="Times New Roman"/>
        </w:rPr>
        <w:t xml:space="preserve">UAB </w:t>
      </w:r>
      <w:r w:rsidR="00767846" w:rsidRPr="00C607C1">
        <w:rPr>
          <w:rFonts w:ascii="Times New Roman" w:hAnsi="Times New Roman" w:cs="Times New Roman"/>
        </w:rPr>
        <w:t>SOPH</w:t>
      </w:r>
      <w:r w:rsidR="00597EEC" w:rsidRPr="00C607C1">
        <w:rPr>
          <w:rFonts w:ascii="Times New Roman" w:hAnsi="Times New Roman" w:cs="Times New Roman"/>
        </w:rPr>
        <w:t xml:space="preserve"> </w:t>
      </w:r>
      <w:r w:rsidR="0087406D" w:rsidRPr="00C607C1">
        <w:rPr>
          <w:rFonts w:ascii="Times New Roman" w:hAnsi="Times New Roman" w:cs="Times New Roman"/>
        </w:rPr>
        <w:t xml:space="preserve">has an increasingly broad and skilled faculty that provides leadership and support for several key national and international health initiatives while undertaking an array of important research projects. </w:t>
      </w:r>
    </w:p>
    <w:p w14:paraId="2EEC5C3F" w14:textId="4A8219FD" w:rsidR="007F0235" w:rsidRPr="00C607C1" w:rsidRDefault="007F0235" w:rsidP="008B0B5C">
      <w:pPr>
        <w:rPr>
          <w:rFonts w:ascii="Times New Roman" w:hAnsi="Times New Roman" w:cs="Times New Roman"/>
        </w:rPr>
      </w:pPr>
      <w:bookmarkStart w:id="0" w:name="_Hlk163482916"/>
      <w:bookmarkStart w:id="1" w:name="_Hlk163482838"/>
      <w:r w:rsidRPr="00C607C1">
        <w:rPr>
          <w:rStyle w:val="normaltextrun"/>
          <w:rFonts w:ascii="Times New Roman" w:hAnsi="Times New Roman" w:cs="Times New Roman"/>
          <w:b/>
          <w:bCs/>
          <w:color w:val="000000"/>
          <w:u w:val="single"/>
        </w:rPr>
        <w:t xml:space="preserve">Lister Hill Center for Health Policy: </w:t>
      </w:r>
      <w:r>
        <w:rPr>
          <w:rStyle w:val="normaltextrun"/>
          <w:rFonts w:ascii="Times New Roman" w:hAnsi="Times New Roman" w:cs="Times New Roman"/>
          <w:b/>
          <w:bCs/>
          <w:color w:val="000000"/>
          <w:u w:val="single"/>
        </w:rPr>
        <w:t>Dr. Peter Ginter</w:t>
      </w:r>
      <w:r w:rsidRPr="00C607C1">
        <w:rPr>
          <w:rStyle w:val="normaltextrun"/>
          <w:rFonts w:ascii="Times New Roman" w:hAnsi="Times New Roman" w:cs="Times New Roman"/>
          <w:b/>
          <w:bCs/>
          <w:color w:val="000000"/>
          <w:u w:val="single"/>
        </w:rPr>
        <w:t>, PhD –</w:t>
      </w:r>
      <w:r>
        <w:rPr>
          <w:rStyle w:val="normaltextrun"/>
          <w:rFonts w:ascii="Times New Roman" w:hAnsi="Times New Roman" w:cs="Times New Roman"/>
          <w:b/>
          <w:bCs/>
          <w:color w:val="000000"/>
          <w:u w:val="single"/>
        </w:rPr>
        <w:t xml:space="preserve">Interim Director </w:t>
      </w:r>
    </w:p>
    <w:p w14:paraId="14201C5A" w14:textId="3C8FD150" w:rsidR="007F0235" w:rsidRPr="007F0235" w:rsidRDefault="007F0235" w:rsidP="008B0B5C">
      <w:pPr>
        <w:rPr>
          <w:rStyle w:val="normaltextrun"/>
          <w:rFonts w:ascii="Times New Roman" w:hAnsi="Times New Roman" w:cs="Times New Roman"/>
        </w:rPr>
      </w:pPr>
      <w:r w:rsidRPr="00C607C1">
        <w:rPr>
          <w:rFonts w:ascii="Times New Roman" w:hAnsi="Times New Roman" w:cs="Times New Roman"/>
        </w:rPr>
        <w:t>The mission of the Lister Hill Center for Health Policy is to connect and support those seeking to improve health outcomes through policy. We aim to enhance opportunities for policy collaboration through education both of faculty and students, create opportunities for dissemination of information through newsletters and policy briefs, fund academic research seeking to impact health policy, provide reputable data sources for academic research, and empower students and community leaders to affect policy change. The Center’s seminar series provides an opportunity to engage with health policy scholars.  </w:t>
      </w:r>
      <w:bookmarkEnd w:id="0"/>
    </w:p>
    <w:p w14:paraId="3BF00DEA" w14:textId="3620671A" w:rsidR="007F0235" w:rsidRPr="00C607C1" w:rsidRDefault="007F0235" w:rsidP="008B0B5C">
      <w:pPr>
        <w:rPr>
          <w:rFonts w:ascii="Times New Roman" w:hAnsi="Times New Roman" w:cs="Times New Roman"/>
        </w:rPr>
      </w:pPr>
      <w:r w:rsidRPr="00C607C1">
        <w:rPr>
          <w:rStyle w:val="normaltextrun"/>
          <w:rFonts w:ascii="Times New Roman" w:hAnsi="Times New Roman" w:cs="Times New Roman"/>
          <w:b/>
          <w:bCs/>
          <w:color w:val="000000"/>
          <w:u w:val="single"/>
        </w:rPr>
        <w:t>Sparkman Center for Global Health</w:t>
      </w:r>
      <w:r w:rsidRPr="00C607C1">
        <w:rPr>
          <w:rStyle w:val="normaltextrun"/>
          <w:rFonts w:ascii="Times New Roman" w:hAnsi="Times New Roman" w:cs="Times New Roman"/>
          <w:b/>
          <w:bCs/>
          <w:u w:val="single"/>
        </w:rPr>
        <w:t xml:space="preserve">: </w:t>
      </w:r>
      <w:r w:rsidRPr="00C607C1">
        <w:rPr>
          <w:rStyle w:val="normaltextrun"/>
          <w:rFonts w:ascii="Times New Roman" w:hAnsi="Times New Roman" w:cs="Times New Roman"/>
          <w:b/>
          <w:bCs/>
          <w:color w:val="000000"/>
          <w:u w:val="single"/>
        </w:rPr>
        <w:t>Olakunle Alonge, PhD</w:t>
      </w:r>
      <w:r w:rsidRPr="00C607C1">
        <w:rPr>
          <w:rStyle w:val="normaltextrun"/>
          <w:rFonts w:ascii="Times New Roman" w:hAnsi="Times New Roman" w:cs="Times New Roman"/>
          <w:b/>
          <w:bCs/>
          <w:u w:val="single"/>
        </w:rPr>
        <w:t xml:space="preserve">, MD, MPH - </w:t>
      </w:r>
      <w:r w:rsidRPr="00C607C1">
        <w:rPr>
          <w:rStyle w:val="normaltextrun"/>
          <w:rFonts w:ascii="Times New Roman" w:hAnsi="Times New Roman" w:cs="Times New Roman"/>
          <w:b/>
          <w:bCs/>
          <w:color w:val="000000"/>
          <w:u w:val="single"/>
        </w:rPr>
        <w:t xml:space="preserve">Director and Anna Helova, DrPH, MA, MBA </w:t>
      </w:r>
      <w:r w:rsidRPr="00C607C1">
        <w:rPr>
          <w:rStyle w:val="normaltextrun"/>
          <w:rFonts w:ascii="Times New Roman" w:hAnsi="Times New Roman" w:cs="Times New Roman"/>
          <w:b/>
          <w:bCs/>
          <w:i/>
          <w:iCs/>
          <w:color w:val="000000"/>
          <w:u w:val="single"/>
        </w:rPr>
        <w:t xml:space="preserve">– </w:t>
      </w:r>
      <w:r w:rsidRPr="00C607C1">
        <w:rPr>
          <w:rStyle w:val="normaltextrun"/>
          <w:rFonts w:ascii="Times New Roman" w:hAnsi="Times New Roman" w:cs="Times New Roman"/>
          <w:b/>
          <w:bCs/>
          <w:color w:val="000000"/>
          <w:u w:val="single"/>
        </w:rPr>
        <w:t>Deputy Director</w:t>
      </w:r>
      <w:r w:rsidRPr="00C607C1">
        <w:rPr>
          <w:rStyle w:val="eop"/>
          <w:rFonts w:ascii="Times New Roman" w:hAnsi="Times New Roman" w:cs="Times New Roman"/>
          <w:color w:val="000000"/>
          <w:u w:val="single"/>
        </w:rPr>
        <w:t> </w:t>
      </w:r>
    </w:p>
    <w:p w14:paraId="03528CD9" w14:textId="77777777" w:rsidR="007F0235" w:rsidRPr="00C607C1" w:rsidRDefault="007F0235" w:rsidP="008B0B5C">
      <w:pPr>
        <w:rPr>
          <w:rFonts w:ascii="Times New Roman" w:hAnsi="Times New Roman" w:cs="Times New Roman"/>
        </w:rPr>
      </w:pPr>
      <w:r w:rsidRPr="00C607C1">
        <w:rPr>
          <w:rFonts w:ascii="Times New Roman" w:hAnsi="Times New Roman" w:cs="Times New Roman"/>
        </w:rPr>
        <w:t>The Sparkman Center for Global Health (SCGH) (</w:t>
      </w:r>
      <w:hyperlink r:id="rId6" w:tgtFrame="_blank" w:history="1">
        <w:r w:rsidRPr="00C607C1">
          <w:rPr>
            <w:rFonts w:ascii="Times New Roman" w:hAnsi="Times New Roman" w:cs="Times New Roman"/>
          </w:rPr>
          <w:t>https://www.uab.edu/sparkmancenter</w:t>
        </w:r>
      </w:hyperlink>
      <w:r w:rsidRPr="00C607C1">
        <w:rPr>
          <w:rFonts w:ascii="Times New Roman" w:hAnsi="Times New Roman" w:cs="Times New Roman"/>
        </w:rPr>
        <w:t>) was established at the UAB School of Public Health (SOPH) with a federal endowment in 1979 as the Sparkman Center for International Public Health Education (SCIPHE) with a primary mission of developing public health training capacity with international partners. SCGH has historically worked closely with country partners and institutions to establish Public Health training programs at the University of the West Indies, Kingston, Jamaica (1982), Universidad Peruana Cayetano Heredia in Lima, Peru (1987), Universidad del Valle in Cali, Columbia (1992), Chiang Mai University in Chiang Mai, Thailand (1990), and Mahidol University in Bangkok, Thailand (1990). </w:t>
      </w:r>
    </w:p>
    <w:p w14:paraId="10F21536" w14:textId="3BB8658C" w:rsidR="007F0235" w:rsidRPr="00C607C1" w:rsidRDefault="007F0235" w:rsidP="008B0B5C">
      <w:pPr>
        <w:rPr>
          <w:rFonts w:ascii="Times New Roman" w:hAnsi="Times New Roman" w:cs="Times New Roman"/>
        </w:rPr>
      </w:pPr>
      <w:r w:rsidRPr="00C607C1">
        <w:rPr>
          <w:rFonts w:ascii="Times New Roman" w:hAnsi="Times New Roman" w:cs="Times New Roman"/>
        </w:rPr>
        <w:lastRenderedPageBreak/>
        <w:t xml:space="preserve">In 2003, in the context of many developments and evolving perspectives and challenges in the areas of international development and global health, the vision and mission of the Sparkman Center were changed with the approval of the UA Board of Trustees. The name was also changed to the UAB John J. Sparkman Center for Global Health. Dr. Craig M. Wilson assumed </w:t>
      </w:r>
      <w:r w:rsidR="00095ECC" w:rsidRPr="00C607C1">
        <w:rPr>
          <w:rFonts w:ascii="Times New Roman" w:hAnsi="Times New Roman" w:cs="Times New Roman"/>
        </w:rPr>
        <w:t>leadership</w:t>
      </w:r>
      <w:r w:rsidRPr="00C607C1">
        <w:rPr>
          <w:rFonts w:ascii="Times New Roman" w:hAnsi="Times New Roman" w:cs="Times New Roman"/>
        </w:rPr>
        <w:t xml:space="preserve"> of SCGH in 2007 and, along with an advisory staff, identified a limited number of programs for strategic investments based on faculty and institutional strengths.  Building on these plans the SCGH worked with the following institutions to open MPH programs in late 2009 and 2010: Manipal University in Manipal, India with an initial focus on environmental and occupational health; University of Kelaniya (UK) in Colombo, Sri Lanka; Aga Khan University, Karachi, Pakistan with a new tract in Environmental Health; University of the West Indies in St. Augustine, Trinidad &amp; Tobago. Dr. Janet Turan assumed the leadership of SCGH in 2018 and, along with an advisory staff, identified additional strategic opportunities. </w:t>
      </w:r>
      <w:r>
        <w:rPr>
          <w:rFonts w:ascii="Times New Roman" w:hAnsi="Times New Roman" w:cs="Times New Roman"/>
        </w:rPr>
        <w:t>In 2023 Olakunle Alonge, PhD was named as center director.  With his leadership,</w:t>
      </w:r>
      <w:r w:rsidRPr="00C607C1">
        <w:rPr>
          <w:rFonts w:ascii="Times New Roman" w:hAnsi="Times New Roman" w:cs="Times New Roman"/>
        </w:rPr>
        <w:t xml:space="preserve"> the Sparkman Center focuses on the development of sustainable approaches to </w:t>
      </w:r>
      <w:r>
        <w:rPr>
          <w:rFonts w:ascii="Times New Roman" w:hAnsi="Times New Roman" w:cs="Times New Roman"/>
        </w:rPr>
        <w:t>promote health among</w:t>
      </w:r>
      <w:r w:rsidRPr="00C607C1">
        <w:rPr>
          <w:rFonts w:ascii="Times New Roman" w:hAnsi="Times New Roman" w:cs="Times New Roman"/>
        </w:rPr>
        <w:t xml:space="preserve"> global </w:t>
      </w:r>
      <w:r>
        <w:rPr>
          <w:rFonts w:ascii="Times New Roman" w:hAnsi="Times New Roman" w:cs="Times New Roman"/>
        </w:rPr>
        <w:t>communities</w:t>
      </w:r>
      <w:r w:rsidRPr="00C607C1">
        <w:rPr>
          <w:rFonts w:ascii="Times New Roman" w:hAnsi="Times New Roman" w:cs="Times New Roman"/>
        </w:rPr>
        <w:t xml:space="preserve"> through support for interdisciplinary education, research, global health practice, and community engagement in collaboration with international and domestic partners. </w:t>
      </w:r>
    </w:p>
    <w:p w14:paraId="58A7E459" w14:textId="745DB8A9" w:rsidR="007F0235" w:rsidRPr="007F0235" w:rsidRDefault="007F0235" w:rsidP="008B0B5C">
      <w:pPr>
        <w:rPr>
          <w:rFonts w:ascii="Times New Roman" w:hAnsi="Times New Roman" w:cs="Times New Roman"/>
        </w:rPr>
      </w:pPr>
      <w:r w:rsidRPr="00C607C1">
        <w:rPr>
          <w:rFonts w:ascii="Times New Roman" w:hAnsi="Times New Roman" w:cs="Times New Roman"/>
        </w:rPr>
        <w:t>The Sparkman Center has a network of internationally recognized UAB faculty, Sparkman Scholars, which aims to facilitate the development of new collaborations across and outside of UAB, provides an opportunity to seek informal advice on international research planning and implementation, exchange of knowledge, and present preliminary research result</w:t>
      </w:r>
      <w:r>
        <w:rPr>
          <w:rFonts w:ascii="Times New Roman" w:hAnsi="Times New Roman" w:cs="Times New Roman"/>
        </w:rPr>
        <w:t>s</w:t>
      </w:r>
      <w:r w:rsidRPr="00C607C1">
        <w:rPr>
          <w:rFonts w:ascii="Times New Roman" w:hAnsi="Times New Roman" w:cs="Times New Roman"/>
        </w:rPr>
        <w:t>. Sparkman Center Scholars also mentor and collaborate with a competitive group of students, Sparkman Center Fellows, on projects in areas of global health research, leadership, and practice. The Sparkman Center provides an opportunity to advance global health work by Sparkman Center Scholars, Fellow</w:t>
      </w:r>
      <w:r>
        <w:rPr>
          <w:rFonts w:ascii="Times New Roman" w:hAnsi="Times New Roman" w:cs="Times New Roman"/>
        </w:rPr>
        <w:t>s</w:t>
      </w:r>
      <w:r w:rsidRPr="00C607C1">
        <w:rPr>
          <w:rFonts w:ascii="Times New Roman" w:hAnsi="Times New Roman" w:cs="Times New Roman"/>
        </w:rPr>
        <w:t xml:space="preserve"> (students), and nationally and internationally known experts through </w:t>
      </w:r>
      <w:r>
        <w:rPr>
          <w:rFonts w:ascii="Times New Roman" w:hAnsi="Times New Roman" w:cs="Times New Roman"/>
        </w:rPr>
        <w:t xml:space="preserve">a </w:t>
      </w:r>
      <w:r w:rsidRPr="00C607C1">
        <w:rPr>
          <w:rFonts w:ascii="Times New Roman" w:hAnsi="Times New Roman" w:cs="Times New Roman"/>
        </w:rPr>
        <w:t xml:space="preserve">semester-long seminar series, and most recently, the reinvented summer institute, a week-long intensive training for global health professionals. Additionally, UAB students are eligible to apply for global health internships and travel funding. The Sparkman Center has a 1600 sq. ft. of office and meeting space in the Ryals Public Health Building. </w:t>
      </w:r>
      <w:bookmarkEnd w:id="1"/>
    </w:p>
    <w:p w14:paraId="7C59DB5E" w14:textId="589148EF" w:rsidR="0044511B" w:rsidRPr="0044511B" w:rsidRDefault="0044511B" w:rsidP="008B0B5C">
      <w:pPr>
        <w:rPr>
          <w:rFonts w:ascii="Times New Roman" w:hAnsi="Times New Roman" w:cs="Times New Roman"/>
          <w:shd w:val="clear" w:color="auto" w:fill="FFFFFF"/>
        </w:rPr>
      </w:pPr>
      <w:r w:rsidRPr="0044511B">
        <w:rPr>
          <w:rFonts w:ascii="Times New Roman" w:hAnsi="Times New Roman" w:cs="Times New Roman"/>
          <w:b/>
          <w:bCs/>
          <w:u w:val="single"/>
          <w:shd w:val="clear" w:color="auto" w:fill="FFFFFF"/>
        </w:rPr>
        <w:t xml:space="preserve">DATA </w:t>
      </w:r>
      <w:r w:rsidR="0079698D" w:rsidRPr="0044511B">
        <w:rPr>
          <w:rFonts w:ascii="Times New Roman" w:hAnsi="Times New Roman" w:cs="Times New Roman"/>
          <w:b/>
          <w:bCs/>
          <w:u w:val="single"/>
          <w:shd w:val="clear" w:color="auto" w:fill="FFFFFF"/>
        </w:rPr>
        <w:t>Coordinating</w:t>
      </w:r>
      <w:r w:rsidRPr="0044511B">
        <w:rPr>
          <w:rFonts w:ascii="Times New Roman" w:hAnsi="Times New Roman" w:cs="Times New Roman"/>
          <w:b/>
          <w:bCs/>
          <w:u w:val="single"/>
          <w:shd w:val="clear" w:color="auto" w:fill="FFFFFF"/>
        </w:rPr>
        <w:t xml:space="preserve"> and Collaborative Research Unit (DATA CRU)</w:t>
      </w:r>
    </w:p>
    <w:p w14:paraId="1E419AF0" w14:textId="77777777" w:rsidR="0044511B" w:rsidRPr="0044511B" w:rsidRDefault="0044511B" w:rsidP="008B0B5C">
      <w:pPr>
        <w:rPr>
          <w:rFonts w:ascii="Times New Roman" w:hAnsi="Times New Roman" w:cs="Times New Roman"/>
          <w:shd w:val="clear" w:color="auto" w:fill="FFFFFF"/>
        </w:rPr>
      </w:pPr>
      <w:r w:rsidRPr="0044511B">
        <w:rPr>
          <w:rFonts w:ascii="Times New Roman" w:hAnsi="Times New Roman" w:cs="Times New Roman"/>
          <w:shd w:val="clear" w:color="auto" w:fill="FFFFFF"/>
        </w:rPr>
        <w:t>The DATA CRU has over 40 full-time staff members including clinical research specialists and coordinators, program managers and coordinators, statisticians, and programmers.  The staff are trained in ICH Good Clinical Practice (GCP) and are knowledgeable in FDA regulations for GCP and clinical trials and have 100 years of combined experience in research management. The DATA CRU currently manages dozens of active protocols, ranging from single-site projects to multi-site international longitudinal studies and randomized trials. Our staff are involved in all aspects of study design and protocol implementation.  Specifics include case report form creation, electronic data systems development and testing, site training and monitoring, participant engagement and data collection, regulatory documentation and compliance, data and safety monitoring, statistical design and analysis, final reporting, and protocol closeout.</w:t>
      </w:r>
    </w:p>
    <w:p w14:paraId="38362384" w14:textId="3A2E2988" w:rsidR="0044511B" w:rsidRPr="00C607C1" w:rsidRDefault="0044511B" w:rsidP="008B0B5C">
      <w:pPr>
        <w:rPr>
          <w:rFonts w:ascii="Times New Roman" w:hAnsi="Times New Roman" w:cs="Times New Roman"/>
          <w:shd w:val="clear" w:color="auto" w:fill="FFFFFF"/>
        </w:rPr>
      </w:pPr>
      <w:r w:rsidRPr="0044511B">
        <w:rPr>
          <w:rFonts w:ascii="Times New Roman" w:hAnsi="Times New Roman" w:cs="Times New Roman"/>
          <w:shd w:val="clear" w:color="auto" w:fill="FFFFFF"/>
        </w:rPr>
        <w:t>The Research Programming Group (RPG) is a key unit within the DATA CRU.  The programming staff have experience in producing stand alone, client server, or web-based data management systems, using JAVA, XML, C++, VB, and SQL, and has the ability to create applications on both Linux and Microsoft platforms.  Importantly, our web-based electronic data entry and management systems meet 21 CFR Part 11 guidelines.</w:t>
      </w:r>
    </w:p>
    <w:p w14:paraId="411939DD" w14:textId="77777777" w:rsidR="00ED1C70" w:rsidRPr="00C607C1" w:rsidRDefault="00ED1C70" w:rsidP="008B0B5C">
      <w:pPr>
        <w:rPr>
          <w:rFonts w:ascii="Times New Roman" w:hAnsi="Times New Roman" w:cs="Times New Roman"/>
          <w:b/>
          <w:u w:val="single"/>
          <w:shd w:val="clear" w:color="auto" w:fill="FFFFFF"/>
        </w:rPr>
      </w:pPr>
      <w:bookmarkStart w:id="2" w:name="_Hlk163482660"/>
      <w:r w:rsidRPr="00C607C1">
        <w:rPr>
          <w:rFonts w:ascii="Times New Roman" w:hAnsi="Times New Roman" w:cs="Times New Roman"/>
          <w:b/>
          <w:u w:val="single"/>
          <w:shd w:val="clear" w:color="auto" w:fill="FFFFFF"/>
        </w:rPr>
        <w:t>Survey Research Unit (SRU)</w:t>
      </w:r>
    </w:p>
    <w:p w14:paraId="224156DE" w14:textId="4165CD6D" w:rsidR="00ED1C70" w:rsidRPr="00C607C1" w:rsidRDefault="00ED1C70" w:rsidP="008B0B5C">
      <w:pPr>
        <w:rPr>
          <w:rFonts w:ascii="Times New Roman" w:hAnsi="Times New Roman" w:cs="Times New Roman"/>
          <w:shd w:val="clear" w:color="auto" w:fill="FFFFFF"/>
        </w:rPr>
      </w:pPr>
      <w:r w:rsidRPr="00C607C1">
        <w:rPr>
          <w:rFonts w:ascii="Times New Roman" w:hAnsi="Times New Roman" w:cs="Times New Roman"/>
          <w:shd w:val="clear" w:color="auto" w:fill="FFFFFF"/>
        </w:rPr>
        <w:t xml:space="preserve">The SRU is a formally designated UAB Service Center that has operated since 1995. The mission of the SRU is to provide scientifically valid survey results for our clients to reach their research goals and objectives. The SRU works with investigators from across the UAB campus as well as state and national groups. </w:t>
      </w:r>
    </w:p>
    <w:p w14:paraId="7A81D322" w14:textId="7CF7BDAA" w:rsidR="00ED1C70" w:rsidRPr="00C607C1" w:rsidRDefault="00ED1C70" w:rsidP="008B0B5C">
      <w:pPr>
        <w:rPr>
          <w:rFonts w:ascii="Times New Roman" w:hAnsi="Times New Roman" w:cs="Times New Roman"/>
          <w:shd w:val="clear" w:color="auto" w:fill="FFFFFF"/>
        </w:rPr>
      </w:pPr>
      <w:r w:rsidRPr="00C607C1">
        <w:rPr>
          <w:rFonts w:ascii="Times New Roman" w:hAnsi="Times New Roman" w:cs="Times New Roman"/>
          <w:shd w:val="clear" w:color="auto" w:fill="FFFFFF"/>
        </w:rPr>
        <w:t>Services include technical assistance in survey design, questionnaire development and sampling methods, conduct of Computer Assisted Telephone Interview (CATI) and Computer Assisted Personal Interview (CAPI) surveys, mail surveys, web-based surveys, in-person interviews, data entry, data editing, database documentation, data analysis and manuscript and report preparation. The SRU also has experience recruiting and screening participants for randomized controlled trials</w:t>
      </w:r>
      <w:r w:rsidR="00826C85">
        <w:rPr>
          <w:rFonts w:ascii="Times New Roman" w:hAnsi="Times New Roman" w:cs="Times New Roman"/>
          <w:shd w:val="clear" w:color="auto" w:fill="FFFFFF"/>
        </w:rPr>
        <w:t xml:space="preserve"> and</w:t>
      </w:r>
      <w:r w:rsidRPr="00C607C1">
        <w:rPr>
          <w:rFonts w:ascii="Times New Roman" w:hAnsi="Times New Roman" w:cs="Times New Roman"/>
          <w:shd w:val="clear" w:color="auto" w:fill="FFFFFF"/>
        </w:rPr>
        <w:t xml:space="preserve"> applying the tools and techniques of population survey design to rapidly accelerate participant recruitment. </w:t>
      </w:r>
    </w:p>
    <w:p w14:paraId="19CB8FD3" w14:textId="37347644" w:rsidR="00ED1C70" w:rsidRPr="00C607C1" w:rsidRDefault="00ED1C70" w:rsidP="008B0B5C">
      <w:pPr>
        <w:rPr>
          <w:rFonts w:ascii="Times New Roman" w:hAnsi="Times New Roman" w:cs="Times New Roman"/>
          <w:shd w:val="clear" w:color="auto" w:fill="FFFFFF"/>
        </w:rPr>
      </w:pPr>
      <w:r w:rsidRPr="00C607C1">
        <w:rPr>
          <w:rFonts w:ascii="Times New Roman" w:hAnsi="Times New Roman" w:cs="Times New Roman"/>
          <w:shd w:val="clear" w:color="auto" w:fill="FFFFFF"/>
        </w:rPr>
        <w:t xml:space="preserve">The SRU has 37 CATI on site stations, 41 remote stations, and </w:t>
      </w:r>
      <w:r w:rsidR="00997561">
        <w:rPr>
          <w:rFonts w:ascii="Times New Roman" w:hAnsi="Times New Roman" w:cs="Times New Roman"/>
          <w:shd w:val="clear" w:color="auto" w:fill="FFFFFF"/>
        </w:rPr>
        <w:t>6</w:t>
      </w:r>
      <w:r w:rsidR="00997561" w:rsidRPr="00C607C1">
        <w:rPr>
          <w:rFonts w:ascii="Times New Roman" w:hAnsi="Times New Roman" w:cs="Times New Roman"/>
          <w:shd w:val="clear" w:color="auto" w:fill="FFFFFF"/>
        </w:rPr>
        <w:t xml:space="preserve"> </w:t>
      </w:r>
      <w:r w:rsidRPr="00C607C1">
        <w:rPr>
          <w:rFonts w:ascii="Times New Roman" w:hAnsi="Times New Roman" w:cs="Times New Roman"/>
          <w:shd w:val="clear" w:color="auto" w:fill="FFFFFF"/>
        </w:rPr>
        <w:t xml:space="preserve">CATI supervisor stations. The UAB SRU maintains a cadre of approximately 50 Survey Research Interviewers, </w:t>
      </w:r>
      <w:r w:rsidR="00997561">
        <w:rPr>
          <w:rFonts w:ascii="Times New Roman" w:hAnsi="Times New Roman" w:cs="Times New Roman"/>
          <w:shd w:val="clear" w:color="auto" w:fill="FFFFFF"/>
        </w:rPr>
        <w:t>6</w:t>
      </w:r>
      <w:r w:rsidR="00997561" w:rsidRPr="00C607C1">
        <w:rPr>
          <w:rFonts w:ascii="Times New Roman" w:hAnsi="Times New Roman" w:cs="Times New Roman"/>
          <w:shd w:val="clear" w:color="auto" w:fill="FFFFFF"/>
        </w:rPr>
        <w:t xml:space="preserve"> </w:t>
      </w:r>
      <w:r w:rsidRPr="00C607C1">
        <w:rPr>
          <w:rFonts w:ascii="Times New Roman" w:hAnsi="Times New Roman" w:cs="Times New Roman"/>
          <w:shd w:val="clear" w:color="auto" w:fill="FFFFFF"/>
        </w:rPr>
        <w:t xml:space="preserve">supervisors, </w:t>
      </w:r>
      <w:r w:rsidR="00997561">
        <w:rPr>
          <w:rFonts w:ascii="Times New Roman" w:hAnsi="Times New Roman" w:cs="Times New Roman"/>
          <w:shd w:val="clear" w:color="auto" w:fill="FFFFFF"/>
        </w:rPr>
        <w:t>1</w:t>
      </w:r>
      <w:r w:rsidR="00997561" w:rsidRPr="00C607C1">
        <w:rPr>
          <w:rFonts w:ascii="Times New Roman" w:hAnsi="Times New Roman" w:cs="Times New Roman"/>
          <w:shd w:val="clear" w:color="auto" w:fill="FFFFFF"/>
        </w:rPr>
        <w:t xml:space="preserve"> </w:t>
      </w:r>
      <w:r w:rsidRPr="00C607C1">
        <w:rPr>
          <w:rFonts w:ascii="Times New Roman" w:hAnsi="Times New Roman" w:cs="Times New Roman"/>
          <w:shd w:val="clear" w:color="auto" w:fill="FFFFFF"/>
        </w:rPr>
        <w:t xml:space="preserve">program coordinator, </w:t>
      </w:r>
      <w:r w:rsidR="00997561">
        <w:rPr>
          <w:rFonts w:ascii="Times New Roman" w:hAnsi="Times New Roman" w:cs="Times New Roman"/>
          <w:shd w:val="clear" w:color="auto" w:fill="FFFFFF"/>
        </w:rPr>
        <w:t>1</w:t>
      </w:r>
      <w:r w:rsidR="00997561" w:rsidRPr="00C607C1">
        <w:rPr>
          <w:rFonts w:ascii="Times New Roman" w:hAnsi="Times New Roman" w:cs="Times New Roman"/>
          <w:shd w:val="clear" w:color="auto" w:fill="FFFFFF"/>
        </w:rPr>
        <w:t xml:space="preserve"> </w:t>
      </w:r>
      <w:r w:rsidRPr="00C607C1">
        <w:rPr>
          <w:rFonts w:ascii="Times New Roman" w:hAnsi="Times New Roman" w:cs="Times New Roman"/>
          <w:shd w:val="clear" w:color="auto" w:fill="FFFFFF"/>
        </w:rPr>
        <w:t xml:space="preserve">statistician, </w:t>
      </w:r>
      <w:r w:rsidR="00997561">
        <w:rPr>
          <w:rFonts w:ascii="Times New Roman" w:hAnsi="Times New Roman" w:cs="Times New Roman"/>
          <w:shd w:val="clear" w:color="auto" w:fill="FFFFFF"/>
        </w:rPr>
        <w:t>2</w:t>
      </w:r>
      <w:r w:rsidR="00997561" w:rsidRPr="00C607C1">
        <w:rPr>
          <w:rFonts w:ascii="Times New Roman" w:hAnsi="Times New Roman" w:cs="Times New Roman"/>
          <w:shd w:val="clear" w:color="auto" w:fill="FFFFFF"/>
        </w:rPr>
        <w:t xml:space="preserve"> </w:t>
      </w:r>
      <w:r w:rsidRPr="00C607C1">
        <w:rPr>
          <w:rFonts w:ascii="Times New Roman" w:hAnsi="Times New Roman" w:cs="Times New Roman"/>
          <w:shd w:val="clear" w:color="auto" w:fill="FFFFFF"/>
        </w:rPr>
        <w:t xml:space="preserve">program </w:t>
      </w:r>
      <w:r w:rsidRPr="00C607C1">
        <w:rPr>
          <w:rFonts w:ascii="Times New Roman" w:hAnsi="Times New Roman" w:cs="Times New Roman"/>
          <w:shd w:val="clear" w:color="auto" w:fill="FFFFFF"/>
        </w:rPr>
        <w:lastRenderedPageBreak/>
        <w:t xml:space="preserve">managers, an operations manager, and </w:t>
      </w:r>
      <w:r w:rsidR="00997561">
        <w:rPr>
          <w:rFonts w:ascii="Times New Roman" w:hAnsi="Times New Roman" w:cs="Times New Roman"/>
          <w:shd w:val="clear" w:color="auto" w:fill="FFFFFF"/>
        </w:rPr>
        <w:t>2</w:t>
      </w:r>
      <w:r w:rsidR="00997561" w:rsidRPr="00C607C1">
        <w:rPr>
          <w:rFonts w:ascii="Times New Roman" w:hAnsi="Times New Roman" w:cs="Times New Roman"/>
          <w:shd w:val="clear" w:color="auto" w:fill="FFFFFF"/>
        </w:rPr>
        <w:t xml:space="preserve"> </w:t>
      </w:r>
      <w:r w:rsidRPr="00C607C1">
        <w:rPr>
          <w:rFonts w:ascii="Times New Roman" w:hAnsi="Times New Roman" w:cs="Times New Roman"/>
          <w:shd w:val="clear" w:color="auto" w:fill="FFFFFF"/>
        </w:rPr>
        <w:t xml:space="preserve">UAB </w:t>
      </w:r>
      <w:r w:rsidR="006C4195" w:rsidRPr="00C607C1">
        <w:rPr>
          <w:rFonts w:ascii="Times New Roman" w:hAnsi="Times New Roman" w:cs="Times New Roman"/>
          <w:shd w:val="clear" w:color="auto" w:fill="FFFFFF"/>
        </w:rPr>
        <w:t>faculty</w:t>
      </w:r>
      <w:r w:rsidRPr="00C607C1">
        <w:rPr>
          <w:rFonts w:ascii="Times New Roman" w:hAnsi="Times New Roman" w:cs="Times New Roman"/>
          <w:shd w:val="clear" w:color="auto" w:fill="FFFFFF"/>
        </w:rPr>
        <w:t xml:space="preserve"> members who serve as assistant director and director. All staff and interviewers are HIPAA and IRB certified. </w:t>
      </w:r>
    </w:p>
    <w:p w14:paraId="39BC88B3" w14:textId="156FE9C5" w:rsidR="007F0235" w:rsidRPr="00C607C1" w:rsidRDefault="00ED1C70" w:rsidP="008B0B5C">
      <w:pPr>
        <w:rPr>
          <w:rFonts w:ascii="Times New Roman" w:hAnsi="Times New Roman" w:cs="Times New Roman"/>
          <w:shd w:val="clear" w:color="auto" w:fill="FFFFFF"/>
        </w:rPr>
      </w:pPr>
      <w:r w:rsidRPr="00C607C1">
        <w:rPr>
          <w:rFonts w:ascii="Times New Roman" w:hAnsi="Times New Roman" w:cs="Times New Roman"/>
          <w:shd w:val="clear" w:color="auto" w:fill="FFFFFF"/>
        </w:rPr>
        <w:t xml:space="preserve">Interviews are regularly recorded and audited as part of a quality assurance program. The SRU has conducted close to a million CATI interviews since its inception, averaging 90,000 mailed surveys annually, and collecting data for more than 150 projects, leading to over </w:t>
      </w:r>
      <w:r w:rsidR="007320DA">
        <w:rPr>
          <w:rFonts w:ascii="Times New Roman" w:hAnsi="Times New Roman" w:cs="Times New Roman"/>
          <w:shd w:val="clear" w:color="auto" w:fill="FFFFFF"/>
        </w:rPr>
        <w:t>8</w:t>
      </w:r>
      <w:r w:rsidRPr="00C607C1">
        <w:rPr>
          <w:rFonts w:ascii="Times New Roman" w:hAnsi="Times New Roman" w:cs="Times New Roman"/>
          <w:shd w:val="clear" w:color="auto" w:fill="FFFFFF"/>
        </w:rPr>
        <w:t xml:space="preserve">00 peer-reviewed journal publications.  The UAB SRU maintains a reserve of an additional 10 to 15 Research Interviewers that can be called upon to deal with short-term surges in demand, and an active recruiting and training program for Research Interviewers to meet any long-term increases in demand. </w:t>
      </w:r>
    </w:p>
    <w:bookmarkEnd w:id="2"/>
    <w:p w14:paraId="189D1EF0" w14:textId="77777777" w:rsidR="0010531B" w:rsidRPr="00C607C1" w:rsidRDefault="0010531B" w:rsidP="008B0B5C">
      <w:pPr>
        <w:rPr>
          <w:rFonts w:ascii="Times New Roman" w:eastAsia="Times New Roman" w:hAnsi="Times New Roman" w:cs="Times New Roman"/>
          <w:b/>
          <w:color w:val="000000"/>
        </w:rPr>
      </w:pPr>
      <w:r w:rsidRPr="00C607C1">
        <w:rPr>
          <w:rFonts w:ascii="Times New Roman" w:eastAsia="Times New Roman" w:hAnsi="Times New Roman" w:cs="Times New Roman"/>
          <w:b/>
          <w:color w:val="000000"/>
          <w:u w:val="single"/>
          <w:bdr w:val="none" w:sz="0" w:space="0" w:color="auto" w:frame="1"/>
        </w:rPr>
        <w:t>Department of Biostatistics: Jeff Szychowski, PhD, Chair</w:t>
      </w:r>
      <w:r w:rsidRPr="00C607C1">
        <w:rPr>
          <w:rFonts w:ascii="Times New Roman" w:eastAsia="Times New Roman" w:hAnsi="Times New Roman" w:cs="Times New Roman"/>
          <w:b/>
          <w:color w:val="000000"/>
          <w:bdr w:val="none" w:sz="0" w:space="0" w:color="auto" w:frame="1"/>
        </w:rPr>
        <w:t>  </w:t>
      </w:r>
    </w:p>
    <w:p w14:paraId="0A3A7DD2" w14:textId="40556EDA" w:rsidR="0010531B" w:rsidRPr="00C607C1" w:rsidRDefault="0010531B" w:rsidP="008B0B5C">
      <w:pPr>
        <w:rPr>
          <w:rFonts w:ascii="Times New Roman" w:hAnsi="Times New Roman" w:cs="Times New Roman"/>
        </w:rPr>
      </w:pPr>
      <w:r w:rsidRPr="008B0B5C">
        <w:rPr>
          <w:rFonts w:ascii="Times New Roman" w:hAnsi="Times New Roman" w:cs="Times New Roman"/>
        </w:rPr>
        <w:t>The Department has </w:t>
      </w:r>
      <w:r w:rsidR="00E278BE" w:rsidRPr="008B0B5C">
        <w:rPr>
          <w:rFonts w:ascii="Times New Roman" w:hAnsi="Times New Roman" w:cs="Times New Roman"/>
        </w:rPr>
        <w:t>1</w:t>
      </w:r>
      <w:r w:rsidR="008B0B5C" w:rsidRPr="008B0B5C">
        <w:rPr>
          <w:rFonts w:ascii="Times New Roman" w:hAnsi="Times New Roman" w:cs="Times New Roman"/>
        </w:rPr>
        <w:t>8</w:t>
      </w:r>
      <w:r w:rsidR="00E278BE" w:rsidRPr="008B0B5C">
        <w:rPr>
          <w:rFonts w:ascii="Times New Roman" w:hAnsi="Times New Roman" w:cs="Times New Roman"/>
        </w:rPr>
        <w:t xml:space="preserve"> </w:t>
      </w:r>
      <w:r w:rsidRPr="008B0B5C">
        <w:rPr>
          <w:rFonts w:ascii="Times New Roman" w:hAnsi="Times New Roman" w:cs="Times New Roman"/>
        </w:rPr>
        <w:t>faculty members and 5</w:t>
      </w:r>
      <w:r w:rsidR="008B0B5C" w:rsidRPr="008B0B5C">
        <w:rPr>
          <w:rFonts w:ascii="Times New Roman" w:hAnsi="Times New Roman" w:cs="Times New Roman"/>
        </w:rPr>
        <w:t>0</w:t>
      </w:r>
      <w:r w:rsidRPr="008B0B5C">
        <w:rPr>
          <w:rFonts w:ascii="Times New Roman" w:hAnsi="Times New Roman" w:cs="Times New Roman"/>
        </w:rPr>
        <w:t xml:space="preserve"> staff, with research emphases in the broad areas of statistical genetics and the management of large epidemiological studies and clinical trials.</w:t>
      </w:r>
      <w:r w:rsidR="005D48F0" w:rsidRPr="008B0B5C">
        <w:rPr>
          <w:rFonts w:ascii="Times New Roman" w:hAnsi="Times New Roman" w:cs="Times New Roman"/>
        </w:rPr>
        <w:t xml:space="preserve"> </w:t>
      </w:r>
      <w:r w:rsidRPr="008B0B5C">
        <w:rPr>
          <w:rFonts w:ascii="Times New Roman" w:hAnsi="Times New Roman" w:cs="Times New Roman"/>
        </w:rPr>
        <w:t xml:space="preserve">Research directed by faculty in the Department of Biostatistics </w:t>
      </w:r>
      <w:r w:rsidR="005D48F0" w:rsidRPr="008B0B5C">
        <w:rPr>
          <w:rFonts w:ascii="Times New Roman" w:hAnsi="Times New Roman" w:cs="Times New Roman"/>
        </w:rPr>
        <w:t>during FY202</w:t>
      </w:r>
      <w:r w:rsidR="007F0235" w:rsidRPr="008B0B5C">
        <w:rPr>
          <w:rFonts w:ascii="Times New Roman" w:hAnsi="Times New Roman" w:cs="Times New Roman"/>
        </w:rPr>
        <w:t>4</w:t>
      </w:r>
      <w:r w:rsidR="005D48F0" w:rsidRPr="008B0B5C">
        <w:rPr>
          <w:rFonts w:ascii="Times New Roman" w:hAnsi="Times New Roman" w:cs="Times New Roman"/>
        </w:rPr>
        <w:t xml:space="preserve"> was $</w:t>
      </w:r>
      <w:r w:rsidR="007F0235" w:rsidRPr="008B0B5C">
        <w:rPr>
          <w:rFonts w:ascii="Times New Roman" w:hAnsi="Times New Roman" w:cs="Times New Roman"/>
        </w:rPr>
        <w:t>16</w:t>
      </w:r>
      <w:r w:rsidR="005D48F0" w:rsidRPr="008B0B5C">
        <w:rPr>
          <w:rFonts w:ascii="Times New Roman" w:hAnsi="Times New Roman" w:cs="Times New Roman"/>
        </w:rPr>
        <w:t xml:space="preserve"> million (</w:t>
      </w:r>
      <w:r w:rsidR="008B0B5C" w:rsidRPr="008B0B5C">
        <w:rPr>
          <w:rFonts w:ascii="Times New Roman" w:hAnsi="Times New Roman" w:cs="Times New Roman"/>
        </w:rPr>
        <w:t>96.2</w:t>
      </w:r>
      <w:r w:rsidR="005D48F0" w:rsidRPr="008B0B5C">
        <w:rPr>
          <w:rFonts w:ascii="Times New Roman" w:hAnsi="Times New Roman" w:cs="Times New Roman"/>
        </w:rPr>
        <w:t>% from the National Institutes of Health)</w:t>
      </w:r>
      <w:r w:rsidRPr="008B0B5C">
        <w:rPr>
          <w:rFonts w:ascii="Times New Roman" w:hAnsi="Times New Roman" w:cs="Times New Roman"/>
        </w:rPr>
        <w:t>, and, in addition to operating multiple Statistical Coordinating Centers, includes investigations in diverse areas such as the methodological development of techniques in statistical genetics; understanding the causes of the excess stroke mortality in the southeastern US; epidemiology and treatment of multiple sclerosis; and advancing techniques to determine the number of patients needed in randomized clinical trials using data from nested pilot studies.</w:t>
      </w:r>
    </w:p>
    <w:p w14:paraId="6BF3776A" w14:textId="77777777" w:rsidR="001D7283" w:rsidRPr="00C607C1" w:rsidRDefault="001D7283" w:rsidP="008B0B5C">
      <w:pPr>
        <w:rPr>
          <w:rFonts w:ascii="Times New Roman" w:hAnsi="Times New Roman" w:cs="Times New Roman"/>
          <w:b/>
          <w:u w:val="single"/>
        </w:rPr>
      </w:pPr>
      <w:bookmarkStart w:id="3" w:name="_Hlk163483855"/>
      <w:r w:rsidRPr="00C607C1">
        <w:rPr>
          <w:rFonts w:ascii="Times New Roman" w:hAnsi="Times New Roman" w:cs="Times New Roman"/>
          <w:b/>
          <w:u w:val="single"/>
        </w:rPr>
        <w:t>Department of Environmental Health Sciences: Jeffrey Wickliffe, PhD, Chair </w:t>
      </w:r>
    </w:p>
    <w:p w14:paraId="078928A1" w14:textId="36B54B6F" w:rsidR="001D7283" w:rsidRPr="00C607C1" w:rsidRDefault="001D7283" w:rsidP="008B0B5C">
      <w:pPr>
        <w:rPr>
          <w:rFonts w:ascii="Times New Roman" w:hAnsi="Times New Roman" w:cs="Times New Roman"/>
        </w:rPr>
      </w:pPr>
      <w:r w:rsidRPr="00C607C1">
        <w:rPr>
          <w:rFonts w:ascii="Times New Roman" w:hAnsi="Times New Roman" w:cs="Times New Roman"/>
        </w:rPr>
        <w:t>The mission of the department is to foster excellence in scientific research, teaching/training, outreach, and practice with the goal of identifying, understanding, and preventing environmentally and occupationally related diseases and injuries in Alabama, our region, the United States, and globally. The department has 13 full-time faculty</w:t>
      </w:r>
      <w:r w:rsidR="00223B7F" w:rsidRPr="00C607C1">
        <w:rPr>
          <w:rFonts w:ascii="Times New Roman" w:hAnsi="Times New Roman" w:cs="Times New Roman"/>
        </w:rPr>
        <w:t>, 11 staff, and</w:t>
      </w:r>
      <w:r w:rsidRPr="00C607C1">
        <w:rPr>
          <w:rFonts w:ascii="Times New Roman" w:hAnsi="Times New Roman" w:cs="Times New Roman"/>
        </w:rPr>
        <w:t xml:space="preserve"> approximately 60 </w:t>
      </w:r>
      <w:r w:rsidR="00095ECC" w:rsidRPr="00C607C1">
        <w:rPr>
          <w:rFonts w:ascii="Times New Roman" w:hAnsi="Times New Roman" w:cs="Times New Roman"/>
        </w:rPr>
        <w:t>master’s</w:t>
      </w:r>
      <w:r w:rsidRPr="00C607C1">
        <w:rPr>
          <w:rFonts w:ascii="Times New Roman" w:hAnsi="Times New Roman" w:cs="Times New Roman"/>
        </w:rPr>
        <w:t xml:space="preserve"> students, and 12 doctoral students. Faculty research expertise includes aging, air pollution, alternative tobacco products, children’s environmental health, chemical toxicology, climate change, community-based research, disasters, drought, environmental epidemiology, environmental and occupational exposure assessment, environmental justice, environmental nursing, flooding, geospatial analysis, heat stress, industrial hygiene, industrial ventilation, lung function, mental health, neurological diseases, personal protective equipment, metals exposure, respirable development, social </w:t>
      </w:r>
      <w:r w:rsidR="000055B2">
        <w:rPr>
          <w:rFonts w:ascii="Times New Roman" w:hAnsi="Times New Roman" w:cs="Times New Roman"/>
        </w:rPr>
        <w:t xml:space="preserve">factors </w:t>
      </w:r>
      <w:r w:rsidRPr="00C607C1">
        <w:rPr>
          <w:rFonts w:ascii="Times New Roman" w:hAnsi="Times New Roman" w:cs="Times New Roman"/>
        </w:rPr>
        <w:t>, noise, vascular and muscular health, vibration, urban modeling and resilience, and water sanitation and hygiene.</w:t>
      </w:r>
      <w:r w:rsidR="005D48F0" w:rsidRPr="00C607C1">
        <w:rPr>
          <w:rFonts w:ascii="Times New Roman" w:hAnsi="Times New Roman" w:cs="Times New Roman"/>
        </w:rPr>
        <w:t xml:space="preserve"> Research directed by faculty in the Department of Environmental Health Sciences during FY202</w:t>
      </w:r>
      <w:r w:rsidR="008B0B5C">
        <w:rPr>
          <w:rFonts w:ascii="Times New Roman" w:hAnsi="Times New Roman" w:cs="Times New Roman"/>
        </w:rPr>
        <w:t>4</w:t>
      </w:r>
      <w:r w:rsidR="005D48F0" w:rsidRPr="00C607C1">
        <w:rPr>
          <w:rFonts w:ascii="Times New Roman" w:hAnsi="Times New Roman" w:cs="Times New Roman"/>
        </w:rPr>
        <w:t xml:space="preserve"> was $</w:t>
      </w:r>
      <w:r w:rsidR="008B0B5C">
        <w:rPr>
          <w:rFonts w:ascii="Times New Roman" w:hAnsi="Times New Roman" w:cs="Times New Roman"/>
        </w:rPr>
        <w:t>5.8</w:t>
      </w:r>
      <w:r w:rsidR="005D48F0" w:rsidRPr="00C607C1">
        <w:rPr>
          <w:rFonts w:ascii="Times New Roman" w:hAnsi="Times New Roman" w:cs="Times New Roman"/>
        </w:rPr>
        <w:t xml:space="preserve"> million (</w:t>
      </w:r>
      <w:r w:rsidR="008B0B5C">
        <w:rPr>
          <w:rFonts w:ascii="Times New Roman" w:hAnsi="Times New Roman" w:cs="Times New Roman"/>
        </w:rPr>
        <w:t>84.6</w:t>
      </w:r>
      <w:r w:rsidR="005D48F0" w:rsidRPr="00C607C1">
        <w:rPr>
          <w:rFonts w:ascii="Times New Roman" w:hAnsi="Times New Roman" w:cs="Times New Roman"/>
        </w:rPr>
        <w:t>% from the Centers for Disease Control and Prevention)</w:t>
      </w:r>
    </w:p>
    <w:p w14:paraId="33E84D47" w14:textId="77777777" w:rsidR="001D7283" w:rsidRPr="002971B1" w:rsidRDefault="001D7283" w:rsidP="008B0B5C">
      <w:pPr>
        <w:rPr>
          <w:rFonts w:ascii="Times New Roman" w:hAnsi="Times New Roman" w:cs="Times New Roman"/>
          <w:b/>
        </w:rPr>
      </w:pPr>
      <w:r w:rsidRPr="002971B1">
        <w:rPr>
          <w:rFonts w:ascii="Times New Roman" w:hAnsi="Times New Roman" w:cs="Times New Roman"/>
          <w:b/>
        </w:rPr>
        <w:t>Department of Environmental Health Sciences Laboratory Equipment and Resources</w:t>
      </w:r>
    </w:p>
    <w:p w14:paraId="71E97DBF" w14:textId="77777777" w:rsidR="001D7283" w:rsidRPr="00C607C1" w:rsidRDefault="001D7283" w:rsidP="008B0B5C">
      <w:pPr>
        <w:rPr>
          <w:rFonts w:ascii="Times New Roman" w:hAnsi="Times New Roman" w:cs="Times New Roman"/>
          <w:bCs/>
        </w:rPr>
      </w:pPr>
      <w:r w:rsidRPr="00C607C1">
        <w:rPr>
          <w:rFonts w:ascii="Times New Roman" w:hAnsi="Times New Roman" w:cs="Times New Roman"/>
        </w:rPr>
        <w:t>The resources in the department are varied based on the expertise of the faculty. The department has</w:t>
      </w:r>
      <w:r w:rsidRPr="00C607C1">
        <w:rPr>
          <w:rFonts w:ascii="Times New Roman" w:hAnsi="Times New Roman" w:cs="Times New Roman"/>
          <w:bCs/>
        </w:rPr>
        <w:t xml:space="preserve"> </w:t>
      </w:r>
      <w:r w:rsidRPr="00C607C1">
        <w:rPr>
          <w:rFonts w:ascii="Times New Roman" w:hAnsi="Times New Roman" w:cs="Times New Roman"/>
        </w:rPr>
        <w:t>Haz-Dust EPAM-5000 which are continuous particulate monitors,  two microbalances, one that is climate controlled, PDR 1500 Data RAMs, low-cost sensors (Airbeams), personal air monitors such as the impactors and cyclones, area monitors, multiple types of pumps, and filters for gravimetric analysis, Defender calibrators, spirometers for lung function testing, wearables to measure air pollution, stands to hold the sampling equipment, drones, and photoionization detectors (PIDs).</w:t>
      </w:r>
      <w:r w:rsidRPr="00C607C1">
        <w:rPr>
          <w:rFonts w:ascii="Times New Roman" w:hAnsi="Times New Roman" w:cs="Times New Roman"/>
          <w:bCs/>
        </w:rPr>
        <w:t xml:space="preserve"> </w:t>
      </w:r>
      <w:r w:rsidRPr="00C607C1">
        <w:rPr>
          <w:rFonts w:ascii="Times New Roman" w:hAnsi="Times New Roman" w:cs="Times New Roman"/>
        </w:rPr>
        <w:t>The department has one lab that can store and prepare samples. The lab has two -80C freezers, one -20C freezer, two BSL-2 hepa-filtered cabinets, three cell-culture incubators (CO2 or other gases), one liquid nitrogen dewar, ~200 ft2 cell culture laboratory space, ~400 ft</w:t>
      </w:r>
      <w:r w:rsidRPr="007F7DC5">
        <w:rPr>
          <w:rFonts w:ascii="Times New Roman" w:hAnsi="Times New Roman" w:cs="Times New Roman"/>
          <w:vertAlign w:val="superscript"/>
        </w:rPr>
        <w:t>2</w:t>
      </w:r>
      <w:r w:rsidRPr="00C607C1">
        <w:rPr>
          <w:rFonts w:ascii="Times New Roman" w:hAnsi="Times New Roman" w:cs="Times New Roman"/>
        </w:rPr>
        <w:t xml:space="preserve"> laboratory space with one Agilent 5977C MSD with 8860 GC and a HydroInert Inert Plus GC/MSD Source. The instrument also has a 7650 ALS 50 Vial Automatic Liquid Sampler and all the necessary sample preparation equipment. </w:t>
      </w:r>
    </w:p>
    <w:p w14:paraId="3BB797C2" w14:textId="641BB77D" w:rsidR="001D7283" w:rsidRPr="00C607C1" w:rsidRDefault="001D7283" w:rsidP="008B0B5C">
      <w:pPr>
        <w:rPr>
          <w:rFonts w:ascii="Times New Roman" w:hAnsi="Times New Roman" w:cs="Times New Roman"/>
        </w:rPr>
      </w:pPr>
      <w:r w:rsidRPr="00C607C1">
        <w:rPr>
          <w:rFonts w:ascii="Times New Roman" w:hAnsi="Times New Roman" w:cs="Times New Roman"/>
        </w:rPr>
        <w:t>Housed within the EHS department is the NIOSH (National Institute for Safety and Health) funded Deep South Center of Occupational Health and Safety, which has two laboratories and one teaching lab. The Ken Dillon Industrial Hygiene Research Laboratory</w:t>
      </w:r>
      <w:r w:rsidRPr="00C607C1">
        <w:rPr>
          <w:rFonts w:ascii="Times New Roman" w:hAnsi="Times New Roman" w:cs="Times New Roman"/>
          <w:bCs/>
        </w:rPr>
        <w:t xml:space="preserve"> </w:t>
      </w:r>
      <w:r w:rsidRPr="00C607C1">
        <w:rPr>
          <w:rFonts w:ascii="Times New Roman" w:hAnsi="Times New Roman" w:cs="Times New Roman"/>
        </w:rPr>
        <w:t xml:space="preserve">is equipped for conducting research and teaching in air sampling and analysis, respiratory protection, personal exposure, indoor air quality, and (nano) material synthesis/fabrication and testing. The laboratory has its own clean compressed air system; it has vacuum, de-ionized water and natural gas outlets and fume hoods for conducting research dealing with volatile compounds and aerosols. It also has glassware, bench top stands and filtration apparatus, precision balances and all necessary supplies for wet chemistry. Equipment and instrumentation in the lab include: a Gas chromatograph with flame ionization detector, Surface area and porosity analyzer ASAP 2020 Physisorption, Dynamic Breathing Machine, DustTrak aerosol monitors, Optical particle counter, Condensation particle counter, Atmosphere Generators, Infrared air analyzer, Gas monitor Environmental Test Chamber, and various other instrumentation for air </w:t>
      </w:r>
      <w:r w:rsidRPr="00C607C1">
        <w:rPr>
          <w:rFonts w:ascii="Times New Roman" w:hAnsi="Times New Roman" w:cs="Times New Roman"/>
        </w:rPr>
        <w:lastRenderedPageBreak/>
        <w:t>sampling and physical agent monitors. The industrial hygiene teaching laboratory houses additional equipment for educating students.</w:t>
      </w:r>
      <w:r w:rsidR="00826C85">
        <w:rPr>
          <w:rFonts w:ascii="Times New Roman" w:hAnsi="Times New Roman" w:cs="Times New Roman"/>
        </w:rPr>
        <w:t xml:space="preserve"> </w:t>
      </w:r>
      <w:r w:rsidRPr="00C607C1">
        <w:rPr>
          <w:rFonts w:ascii="Times New Roman" w:hAnsi="Times New Roman" w:cs="Times New Roman"/>
        </w:rPr>
        <w:t>The third laboratory in the NIOSH Deep South Center is the Occupational Exposure Assessment and Control and has many of the same equipment as the Ken Dillan Industrial Hygiene Research Laboratory. Furthermore, the equipment and instrumentation used in the lab include Vibration dosimeters, Triaxial accelerometers, Noise dosimeters, Sound level meter, Wearable core body temperature (CBT) monitor, Ingestible CBT pill, Respiratory fit tester, Photoionization detectors, Personal Aerosol Monitor, Anemometer Balometer, Laser Doppler flowmetry and a myotonometer.</w:t>
      </w:r>
    </w:p>
    <w:p w14:paraId="70EF92AE" w14:textId="77777777" w:rsidR="000F0229" w:rsidRPr="00C607C1" w:rsidRDefault="000F0229" w:rsidP="008B0B5C">
      <w:pPr>
        <w:rPr>
          <w:rFonts w:ascii="Times New Roman" w:hAnsi="Times New Roman" w:cs="Times New Roman"/>
          <w:color w:val="000000"/>
        </w:rPr>
      </w:pPr>
      <w:bookmarkStart w:id="4" w:name="_Hlk163483565"/>
      <w:bookmarkEnd w:id="3"/>
      <w:r w:rsidRPr="00C607C1">
        <w:rPr>
          <w:rStyle w:val="xcontentpasted0"/>
          <w:rFonts w:ascii="Times New Roman" w:hAnsi="Times New Roman" w:cs="Times New Roman"/>
          <w:b/>
          <w:bCs/>
          <w:color w:val="000000"/>
          <w:u w:val="single"/>
        </w:rPr>
        <w:t>Department of Epidemiology: Cora Elizabeth (Beth) Lewis, MD, MSPH, Chair</w:t>
      </w:r>
      <w:r w:rsidRPr="00C607C1">
        <w:rPr>
          <w:rStyle w:val="xcontentpasted0"/>
          <w:rFonts w:ascii="Times New Roman" w:hAnsi="Times New Roman" w:cs="Times New Roman"/>
          <w:color w:val="000000"/>
        </w:rPr>
        <w:t xml:space="preserve">  </w:t>
      </w:r>
      <w:r w:rsidRPr="00C607C1">
        <w:rPr>
          <w:rFonts w:ascii="Times New Roman" w:hAnsi="Times New Roman" w:cs="Times New Roman"/>
          <w:color w:val="000000"/>
        </w:rPr>
        <w:t> </w:t>
      </w:r>
    </w:p>
    <w:p w14:paraId="7E68ACB4" w14:textId="0EF3597D" w:rsidR="00F77FA8" w:rsidRPr="00F77FA8" w:rsidRDefault="00F77FA8" w:rsidP="008B0B5C">
      <w:pPr>
        <w:rPr>
          <w:rFonts w:ascii="Times New Roman" w:hAnsi="Times New Roman" w:cs="Times New Roman"/>
        </w:rPr>
      </w:pPr>
      <w:r w:rsidRPr="00F77FA8">
        <w:rPr>
          <w:rFonts w:ascii="Times New Roman" w:hAnsi="Times New Roman" w:cs="Times New Roman"/>
        </w:rPr>
        <w:t xml:space="preserve">The Department of Epidemiology in the School of Public Health has a two-fold mission: First, it provides a scientific basis for disease prevention and control through its research, teaching, and service programs. The Department has 21 faculty members, 46 staff persons, and approximately 215 </w:t>
      </w:r>
      <w:r w:rsidR="00095ECC" w:rsidRPr="00F77FA8">
        <w:rPr>
          <w:rFonts w:ascii="Times New Roman" w:hAnsi="Times New Roman" w:cs="Times New Roman"/>
        </w:rPr>
        <w:t>master’s</w:t>
      </w:r>
      <w:r w:rsidRPr="00F77FA8">
        <w:rPr>
          <w:rFonts w:ascii="Times New Roman" w:hAnsi="Times New Roman" w:cs="Times New Roman"/>
        </w:rPr>
        <w:t xml:space="preserve"> students, and 18 doctoral students during the 2024-25 academic year. Department activities encompass research and educational foci in epidemiology, the distribution and determinants of disease in humans, and prevention with particular emphasis on both non-communicable (e.g., cardiovascular, cancer, and kidney diseases and injury) and communicable (e.g., infectious disease) outcomes. Faculty provide expertise in aging and musculoskeletal health, cancer, injury, multi-omics, obesity and energy balance and related behaviors, population genetics and epigenetics, reproductive health, and social </w:t>
      </w:r>
      <w:r w:rsidR="00977164">
        <w:rPr>
          <w:rFonts w:ascii="Times New Roman" w:hAnsi="Times New Roman" w:cs="Times New Roman"/>
        </w:rPr>
        <w:t>and environmental factors</w:t>
      </w:r>
      <w:r w:rsidRPr="00F77FA8">
        <w:rPr>
          <w:rFonts w:ascii="Times New Roman" w:hAnsi="Times New Roman" w:cs="Times New Roman"/>
        </w:rPr>
        <w:t>. Several faculty in the Department of Epidemiology also have leadership roles in national and international population-based prospective cohort studies, randomized controlled trials, and coordinating centers. Also, faculty in the department are leaders in national consortia programs such as the NHLBI Transomics for Precision Medicine Program (TOPMed) and the Cohorts for Heart and Aging Research in Genomic Epidemiology. Research directed by faculty in the Department of Epidemiology during FY2024 was $14.5 million (91.7% from the National Institutes of Health).</w:t>
      </w:r>
    </w:p>
    <w:bookmarkEnd w:id="4"/>
    <w:p w14:paraId="39580D30" w14:textId="77777777" w:rsidR="005107C5" w:rsidRPr="00A17A00" w:rsidRDefault="005107C5" w:rsidP="008B0B5C">
      <w:pPr>
        <w:rPr>
          <w:rStyle w:val="xcontentpasted0"/>
          <w:rFonts w:ascii="Times New Roman" w:hAnsi="Times New Roman" w:cs="Times New Roman"/>
          <w:b/>
          <w:bCs/>
        </w:rPr>
      </w:pPr>
      <w:r w:rsidRPr="00A17A00">
        <w:rPr>
          <w:rStyle w:val="xcontentpasted0"/>
          <w:rFonts w:ascii="Times New Roman" w:hAnsi="Times New Roman" w:cs="Times New Roman"/>
          <w:b/>
          <w:bCs/>
        </w:rPr>
        <w:t>Department of Epidemiology Research Clinic</w:t>
      </w:r>
    </w:p>
    <w:p w14:paraId="7397FDCC" w14:textId="77777777" w:rsidR="0079698D" w:rsidRPr="0079698D" w:rsidRDefault="0079698D" w:rsidP="008B0B5C">
      <w:pPr>
        <w:rPr>
          <w:rFonts w:ascii="Times New Roman" w:hAnsi="Times New Roman" w:cs="Times New Roman"/>
        </w:rPr>
      </w:pPr>
      <w:r w:rsidRPr="0079698D">
        <w:rPr>
          <w:rFonts w:ascii="Times New Roman" w:hAnsi="Times New Roman" w:cs="Times New Roman"/>
        </w:rPr>
        <w:t>The Department of Epidemiology Research Clinic is located on the seventh floor of the Medical Towers Building in Birmingham’s Southside, adjacent to the UAB campus. The clinical facilities are designed especially for clinical trials and observational studies, containing all the necessary facilities for participant assessments and group meetings in a secure access-controlled environment. This space includes a reception area located just inside the clinic between the elevators and the waiting room and large waiting room with a television and magazine racks, which seats 23 participants comfortably. It also includes a private snack area equipped with a microwave, refrigerator, and coffee machine for study participants. The Department of Epidemiology Research Clinic includes five large interview and examination rooms and five smaller rooms for patient interviews; many of these rooms have attached private bathrooms. Staff offices are located on the seventh floor of Medical Towers and additional space, located on the first floor of the Medical Towers Building, houses a locked medical records room; furnished with file carriages. Participant parking is available on the second and third floors of the Medical Towers Building and behind the building in a gated lot.</w:t>
      </w:r>
    </w:p>
    <w:p w14:paraId="28F082BB" w14:textId="77777777" w:rsidR="0079698D" w:rsidRPr="0079698D" w:rsidRDefault="0079698D" w:rsidP="008B0B5C">
      <w:pPr>
        <w:rPr>
          <w:rFonts w:ascii="Times New Roman" w:hAnsi="Times New Roman" w:cs="Times New Roman"/>
        </w:rPr>
      </w:pPr>
      <w:r w:rsidRPr="0079698D">
        <w:rPr>
          <w:rFonts w:ascii="Times New Roman" w:hAnsi="Times New Roman" w:cs="Times New Roman"/>
        </w:rPr>
        <w:t>Laboratory. The Department of Epidemiology Research Clinic contains a fully equipped laboratory with a separate phlebotomy area containing three phlebotomy chairs. Adjacent to the reception area is the specimen processing area including 30 feet of counter space to prepare blood and urine specimens to ship to other labs for analyses. The laboratory space includes two sinks, phlebotomy supply cabinets, -70°C freezers with CO2 back-up systems, ice machine, microscopes, and two refrigerated centrifuges.</w:t>
      </w:r>
    </w:p>
    <w:p w14:paraId="2DD41115" w14:textId="77777777" w:rsidR="0079698D" w:rsidRPr="0079698D" w:rsidRDefault="0079698D" w:rsidP="008B0B5C">
      <w:pPr>
        <w:rPr>
          <w:rFonts w:ascii="Times New Roman" w:hAnsi="Times New Roman" w:cs="Times New Roman"/>
        </w:rPr>
      </w:pPr>
      <w:r w:rsidRPr="0079698D">
        <w:rPr>
          <w:rFonts w:ascii="Times New Roman" w:hAnsi="Times New Roman" w:cs="Times New Roman"/>
        </w:rPr>
        <w:t>Equipment. The Department of Epidemiology Research Clinic houses equipment, including a magnetic resonance imaging (MRI) machine (ONI, Inc. OrthOne 1.5 Tesla superconducting extremities magnet with circumferential coil), GE LOGIQ E10 ultrasound imaging system, Planmed XFI - Weight Bearing CT Upright for 3D imaging of upper and lower extremities, MCG Diagnostics Ultima CardioO2 Gas Exchange Analysis System, Trackmaster treadmill, Parvo Medics metabolic measurement system, Q4000 model ECG monitor, pulmonary function equipment, automated and manual blood pressure equipment, platform scales and Harpenden stadiometers, AMTI force plate for assessing muscle power, portable gait lab to measure gait variability/GAITRite portable walkway system with video software for gait analysis, somatosensory and vibratory threshold equipment, EMED-x/E sensor system (pedobarometry) for measuring dynamic and static pressure distribution, electromyograph (4-channel), two algometers for measuring pressure pain threshold, movement monitoring system, Axivity AX3 and AX6 activity monitors, and one biphasic automated external defibrillator (AED).</w:t>
      </w:r>
    </w:p>
    <w:p w14:paraId="5AE8BBB2" w14:textId="7D8B0C57" w:rsidR="00C04EB1" w:rsidRPr="00C607C1" w:rsidRDefault="00C04EB1" w:rsidP="008B0B5C">
      <w:pPr>
        <w:rPr>
          <w:rFonts w:ascii="Times New Roman" w:hAnsi="Times New Roman" w:cs="Times New Roman"/>
          <w:b/>
        </w:rPr>
      </w:pPr>
      <w:bookmarkStart w:id="5" w:name="_Hlk163483913"/>
      <w:r w:rsidRPr="00C607C1">
        <w:rPr>
          <w:rFonts w:ascii="Times New Roman" w:hAnsi="Times New Roman" w:cs="Times New Roman"/>
          <w:b/>
          <w:color w:val="000000"/>
          <w:u w:val="single"/>
          <w:bdr w:val="none" w:sz="0" w:space="0" w:color="auto" w:frame="1"/>
        </w:rPr>
        <w:lastRenderedPageBreak/>
        <w:t xml:space="preserve">Department of Health Behavior: </w:t>
      </w:r>
      <w:r w:rsidR="00C47DBA" w:rsidRPr="00C607C1">
        <w:rPr>
          <w:rFonts w:ascii="Times New Roman" w:hAnsi="Times New Roman" w:cs="Times New Roman"/>
          <w:b/>
          <w:u w:val="single"/>
          <w:bdr w:val="none" w:sz="0" w:space="0" w:color="auto" w:frame="1"/>
        </w:rPr>
        <w:t>Suzanne Judd, PhD</w:t>
      </w:r>
      <w:r w:rsidR="00DF21D1">
        <w:rPr>
          <w:rFonts w:ascii="Times New Roman" w:hAnsi="Times New Roman" w:cs="Times New Roman"/>
          <w:b/>
          <w:u w:val="single"/>
          <w:bdr w:val="none" w:sz="0" w:space="0" w:color="auto" w:frame="1"/>
        </w:rPr>
        <w:t>,</w:t>
      </w:r>
      <w:r w:rsidR="00E561C2" w:rsidRPr="00C607C1">
        <w:rPr>
          <w:rFonts w:ascii="Times New Roman" w:hAnsi="Times New Roman" w:cs="Times New Roman"/>
          <w:b/>
          <w:u w:val="single"/>
          <w:bdr w:val="none" w:sz="0" w:space="0" w:color="auto" w:frame="1"/>
        </w:rPr>
        <w:t xml:space="preserve"> </w:t>
      </w:r>
      <w:r w:rsidR="00C47DBA" w:rsidRPr="00C607C1">
        <w:rPr>
          <w:rFonts w:ascii="Times New Roman" w:hAnsi="Times New Roman" w:cs="Times New Roman"/>
          <w:b/>
          <w:u w:val="single"/>
          <w:bdr w:val="none" w:sz="0" w:space="0" w:color="auto" w:frame="1"/>
        </w:rPr>
        <w:t xml:space="preserve">Chair </w:t>
      </w:r>
    </w:p>
    <w:p w14:paraId="0EE74D9B" w14:textId="683764D4" w:rsidR="00176F44" w:rsidRPr="00C607C1" w:rsidRDefault="009B68DB" w:rsidP="008B0B5C">
      <w:pPr>
        <w:rPr>
          <w:rFonts w:ascii="Times New Roman" w:hAnsi="Times New Roman" w:cs="Times New Roman"/>
        </w:rPr>
      </w:pPr>
      <w:r w:rsidRPr="00C607C1">
        <w:rPr>
          <w:rStyle w:val="normaltextrun"/>
          <w:rFonts w:ascii="Times New Roman" w:hAnsi="Times New Roman" w:cs="Times New Roman"/>
        </w:rPr>
        <w:t>The Department of Health Behavior in the UAB School of Public Health (SOPH) is comprised of 1</w:t>
      </w:r>
      <w:r w:rsidR="00BD5392">
        <w:rPr>
          <w:rStyle w:val="normaltextrun"/>
          <w:rFonts w:ascii="Times New Roman" w:hAnsi="Times New Roman" w:cs="Times New Roman"/>
        </w:rPr>
        <w:t>6</w:t>
      </w:r>
      <w:r w:rsidRPr="00C607C1">
        <w:rPr>
          <w:rStyle w:val="normaltextrun"/>
          <w:rFonts w:ascii="Times New Roman" w:hAnsi="Times New Roman" w:cs="Times New Roman"/>
        </w:rPr>
        <w:t xml:space="preserve"> full-time faculty</w:t>
      </w:r>
      <w:r w:rsidR="00223B7F" w:rsidRPr="00C607C1">
        <w:rPr>
          <w:rStyle w:val="normaltextrun"/>
          <w:rFonts w:ascii="Times New Roman" w:hAnsi="Times New Roman" w:cs="Times New Roman"/>
        </w:rPr>
        <w:t xml:space="preserve"> and 11 staff</w:t>
      </w:r>
      <w:r w:rsidR="0033017B" w:rsidRPr="00C607C1">
        <w:rPr>
          <w:rStyle w:val="normaltextrun"/>
          <w:rFonts w:ascii="Times New Roman" w:hAnsi="Times New Roman" w:cs="Times New Roman"/>
        </w:rPr>
        <w:t xml:space="preserve"> employees</w:t>
      </w:r>
      <w:r w:rsidR="00223B7F" w:rsidRPr="00C607C1">
        <w:rPr>
          <w:rStyle w:val="normaltextrun"/>
          <w:rFonts w:ascii="Times New Roman" w:hAnsi="Times New Roman" w:cs="Times New Roman"/>
        </w:rPr>
        <w:t>. Faculty are</w:t>
      </w:r>
      <w:r w:rsidRPr="00C607C1">
        <w:rPr>
          <w:rStyle w:val="normaltextrun"/>
          <w:rFonts w:ascii="Times New Roman" w:hAnsi="Times New Roman" w:cs="Times New Roman"/>
        </w:rPr>
        <w:t xml:space="preserve"> trained in the behavioral sciences to address the various factors influencing individual and population health. The Department offers both an MPH training program and a PhD program in Health Behavior. The department’s goal is to bring together teaching, research, and service activities to promote healthy lifestyle behaviors. Research conducted by health behavior faculty seeks to improve the public’s health related to topics such as obesity, homelessness, sexual health risks, physical and intellectual disabilities, health communication, cardiovascular disease, cancer, and program evaluation.</w:t>
      </w:r>
      <w:bookmarkEnd w:id="5"/>
      <w:r w:rsidR="00B51B9B" w:rsidRPr="00C607C1">
        <w:rPr>
          <w:rStyle w:val="normaltextrun"/>
          <w:rFonts w:ascii="Times New Roman" w:hAnsi="Times New Roman" w:cs="Times New Roman"/>
        </w:rPr>
        <w:t xml:space="preserve"> </w:t>
      </w:r>
      <w:r w:rsidR="00B51B9B" w:rsidRPr="00C607C1">
        <w:rPr>
          <w:rFonts w:ascii="Times New Roman" w:hAnsi="Times New Roman" w:cs="Times New Roman"/>
        </w:rPr>
        <w:t xml:space="preserve">Research directed by faculty in the Department of Health Behavior during </w:t>
      </w:r>
      <w:r w:rsidR="00DF21D1" w:rsidRPr="007F7DC5">
        <w:rPr>
          <w:rFonts w:ascii="Times New Roman" w:hAnsi="Times New Roman" w:cs="Times New Roman"/>
        </w:rPr>
        <w:t>FY202</w:t>
      </w:r>
      <w:r w:rsidR="008B0B5C">
        <w:rPr>
          <w:rFonts w:ascii="Times New Roman" w:hAnsi="Times New Roman" w:cs="Times New Roman"/>
        </w:rPr>
        <w:t>4</w:t>
      </w:r>
      <w:r w:rsidR="00DF21D1" w:rsidRPr="007F7DC5">
        <w:rPr>
          <w:rFonts w:ascii="Times New Roman" w:hAnsi="Times New Roman" w:cs="Times New Roman"/>
        </w:rPr>
        <w:t xml:space="preserve"> was </w:t>
      </w:r>
      <w:r w:rsidR="008B0B5C">
        <w:rPr>
          <w:rFonts w:ascii="Times New Roman" w:hAnsi="Times New Roman" w:cs="Times New Roman"/>
        </w:rPr>
        <w:t>$0.8 million</w:t>
      </w:r>
      <w:r w:rsidR="00DF21D1" w:rsidRPr="007F7DC5">
        <w:rPr>
          <w:rFonts w:ascii="Times New Roman" w:hAnsi="Times New Roman" w:cs="Times New Roman"/>
        </w:rPr>
        <w:t xml:space="preserve"> (</w:t>
      </w:r>
      <w:r w:rsidR="008B0B5C">
        <w:rPr>
          <w:rFonts w:ascii="Times New Roman" w:hAnsi="Times New Roman" w:cs="Times New Roman"/>
        </w:rPr>
        <w:t>75</w:t>
      </w:r>
      <w:r w:rsidR="00DF21D1" w:rsidRPr="007F7DC5">
        <w:rPr>
          <w:rFonts w:ascii="Times New Roman" w:hAnsi="Times New Roman" w:cs="Times New Roman"/>
        </w:rPr>
        <w:t>% from the National Institutes of Health)</w:t>
      </w:r>
      <w:r w:rsidR="00977164">
        <w:rPr>
          <w:rFonts w:ascii="Times New Roman" w:hAnsi="Times New Roman" w:cs="Times New Roman"/>
        </w:rPr>
        <w:t>.</w:t>
      </w:r>
    </w:p>
    <w:p w14:paraId="20713DA1" w14:textId="015C9BC5" w:rsidR="0056319B" w:rsidRPr="00C607C1" w:rsidRDefault="0056319B" w:rsidP="008B0B5C">
      <w:pPr>
        <w:rPr>
          <w:rStyle w:val="normaltextrun"/>
          <w:rFonts w:ascii="Times New Roman" w:hAnsi="Times New Roman" w:cs="Times New Roman"/>
          <w:b/>
          <w:bCs/>
          <w:u w:val="single"/>
        </w:rPr>
      </w:pPr>
      <w:bookmarkStart w:id="6" w:name="_Hlk163483992"/>
      <w:r w:rsidRPr="00C607C1">
        <w:rPr>
          <w:rStyle w:val="normaltextrun"/>
          <w:rFonts w:ascii="Times New Roman" w:hAnsi="Times New Roman" w:cs="Times New Roman"/>
          <w:b/>
          <w:bCs/>
          <w:u w:val="single"/>
        </w:rPr>
        <w:t>Department of Health Policy and Organization: Martha Wingate, DrPH</w:t>
      </w:r>
      <w:r w:rsidR="008B0B5C">
        <w:rPr>
          <w:rStyle w:val="normaltextrun"/>
          <w:rFonts w:ascii="Times New Roman" w:hAnsi="Times New Roman" w:cs="Times New Roman"/>
          <w:b/>
          <w:bCs/>
          <w:u w:val="single"/>
        </w:rPr>
        <w:t xml:space="preserve">, </w:t>
      </w:r>
      <w:r w:rsidRPr="00C607C1">
        <w:rPr>
          <w:rStyle w:val="normaltextrun"/>
          <w:rFonts w:ascii="Times New Roman" w:hAnsi="Times New Roman" w:cs="Times New Roman"/>
          <w:b/>
          <w:bCs/>
          <w:u w:val="single"/>
        </w:rPr>
        <w:t>Chair</w:t>
      </w:r>
    </w:p>
    <w:p w14:paraId="02419323" w14:textId="0EA57E99" w:rsidR="00FB1EE1" w:rsidRPr="00FB1EE1" w:rsidRDefault="0056319B" w:rsidP="008B0B5C">
      <w:pPr>
        <w:rPr>
          <w:rFonts w:ascii="Times New Roman" w:hAnsi="Times New Roman" w:cs="Times New Roman"/>
        </w:rPr>
      </w:pPr>
      <w:r w:rsidRPr="00C607C1">
        <w:rPr>
          <w:rStyle w:val="normaltextrun"/>
          <w:rFonts w:ascii="Times New Roman" w:hAnsi="Times New Roman" w:cs="Times New Roman"/>
        </w:rPr>
        <w:t xml:space="preserve">The Department of Health Policy and Organization includes </w:t>
      </w:r>
      <w:r w:rsidR="00AD59B9" w:rsidRPr="007F7DC5">
        <w:rPr>
          <w:rFonts w:ascii="Times New Roman" w:hAnsi="Times New Roman" w:cs="Times New Roman"/>
        </w:rPr>
        <w:t>1 University Professor</w:t>
      </w:r>
      <w:r w:rsidR="00AD59B9" w:rsidRPr="00AD59B9">
        <w:rPr>
          <w:rFonts w:ascii="Times New Roman" w:hAnsi="Times New Roman" w:cs="Times New Roman"/>
          <w:b/>
          <w:bCs/>
        </w:rPr>
        <w:t xml:space="preserve">,  </w:t>
      </w:r>
      <w:r w:rsidR="00AD59B9" w:rsidRPr="007F7DC5">
        <w:rPr>
          <w:rFonts w:ascii="Times New Roman" w:hAnsi="Times New Roman" w:cs="Times New Roman"/>
        </w:rPr>
        <w:t>27</w:t>
      </w:r>
      <w:r w:rsidR="00AD59B9" w:rsidRPr="00AD59B9">
        <w:rPr>
          <w:rFonts w:ascii="Times New Roman" w:hAnsi="Times New Roman" w:cs="Times New Roman"/>
        </w:rPr>
        <w:t> full-time,  and 6 Emeritus faculty and </w:t>
      </w:r>
      <w:r w:rsidR="00AD59B9" w:rsidRPr="007F7DC5">
        <w:rPr>
          <w:rFonts w:ascii="Times New Roman" w:hAnsi="Times New Roman" w:cs="Times New Roman"/>
        </w:rPr>
        <w:t>33</w:t>
      </w:r>
      <w:r w:rsidR="00AD59B9" w:rsidRPr="00AD59B9">
        <w:rPr>
          <w:rFonts w:ascii="Times New Roman" w:hAnsi="Times New Roman" w:cs="Times New Roman"/>
        </w:rPr>
        <w:t> staff employees.</w:t>
      </w:r>
      <w:r w:rsidRPr="00C607C1">
        <w:rPr>
          <w:rStyle w:val="normaltextrun"/>
          <w:rFonts w:ascii="Times New Roman" w:hAnsi="Times New Roman" w:cs="Times New Roman"/>
        </w:rPr>
        <w:t xml:space="preserve"> The Department aims to direct, shape, and improve the changing public health environment through 1) creating and sharing evidence to inform policy and practice, 2) developing the next generation of public health practice and research professional</w:t>
      </w:r>
      <w:r w:rsidR="00D05910">
        <w:rPr>
          <w:rStyle w:val="normaltextrun"/>
          <w:rFonts w:ascii="Times New Roman" w:hAnsi="Times New Roman" w:cs="Times New Roman"/>
        </w:rPr>
        <w:t>s</w:t>
      </w:r>
      <w:r w:rsidRPr="00C607C1">
        <w:rPr>
          <w:rStyle w:val="normaltextrun"/>
          <w:rFonts w:ascii="Times New Roman" w:hAnsi="Times New Roman" w:cs="Times New Roman"/>
        </w:rPr>
        <w:t xml:space="preserve">, and 3) collaborating with local, state, national, and international public health partners to address critical challenges and implement solutions. The Department provides training and education at the master's and doctoral levels. Master of Public Health (M.P.H.) degrees are offered in Health Policy and Organization, Maternal and Child </w:t>
      </w:r>
      <w:r w:rsidR="008B0B5C">
        <w:rPr>
          <w:rStyle w:val="normaltextrun"/>
          <w:rFonts w:ascii="Times New Roman" w:hAnsi="Times New Roman" w:cs="Times New Roman"/>
        </w:rPr>
        <w:t>H</w:t>
      </w:r>
      <w:r w:rsidRPr="00C607C1">
        <w:rPr>
          <w:rStyle w:val="normaltextrun"/>
          <w:rFonts w:ascii="Times New Roman" w:hAnsi="Times New Roman" w:cs="Times New Roman"/>
        </w:rPr>
        <w:t>ealth Policy and Leadership. The Department also offers a Master of Science in Public Health (MSPH) in Outcomes Research, and the Doctor of Public Health (DrPH) degree has concentrations in Health Policy and Organization, Maternal and Child Health Policy, Outcomes Research</w:t>
      </w:r>
      <w:r w:rsidR="00AD59B9">
        <w:rPr>
          <w:rStyle w:val="normaltextrun"/>
          <w:rFonts w:ascii="Times New Roman" w:hAnsi="Times New Roman" w:cs="Times New Roman"/>
        </w:rPr>
        <w:t>,</w:t>
      </w:r>
      <w:r w:rsidR="00AD59B9" w:rsidRPr="00AD59B9">
        <w:rPr>
          <w:rFonts w:ascii="Calibri" w:eastAsia="Times New Roman" w:hAnsi="Calibri" w:cs="Calibri"/>
          <w:color w:val="FF0000"/>
        </w:rPr>
        <w:t xml:space="preserve"> </w:t>
      </w:r>
      <w:r w:rsidR="00D05910" w:rsidRPr="002971B1">
        <w:rPr>
          <w:rFonts w:ascii="Times New Roman" w:eastAsia="Times New Roman" w:hAnsi="Times New Roman" w:cs="Times New Roman"/>
        </w:rPr>
        <w:t>and</w:t>
      </w:r>
      <w:r w:rsidR="00D05910">
        <w:rPr>
          <w:rFonts w:ascii="Calibri" w:eastAsia="Times New Roman" w:hAnsi="Calibri" w:cs="Calibri"/>
          <w:color w:val="FF0000"/>
        </w:rPr>
        <w:t xml:space="preserve"> </w:t>
      </w:r>
      <w:r w:rsidR="00AD59B9" w:rsidRPr="00AD59B9">
        <w:rPr>
          <w:rFonts w:ascii="Times New Roman" w:hAnsi="Times New Roman" w:cs="Times New Roman"/>
        </w:rPr>
        <w:t>Preparedness Leadership</w:t>
      </w:r>
      <w:r w:rsidR="00AD59B9">
        <w:rPr>
          <w:rFonts w:ascii="Times New Roman" w:hAnsi="Times New Roman" w:cs="Times New Roman"/>
        </w:rPr>
        <w:t>.</w:t>
      </w:r>
      <w:r w:rsidRPr="00C607C1">
        <w:rPr>
          <w:rStyle w:val="normaltextrun"/>
          <w:rFonts w:ascii="Times New Roman" w:hAnsi="Times New Roman" w:cs="Times New Roman"/>
        </w:rPr>
        <w:t xml:space="preserve"> The HPO Department occupies one-half of the </w:t>
      </w:r>
      <w:r w:rsidR="00D05910">
        <w:rPr>
          <w:rStyle w:val="normaltextrun"/>
          <w:rFonts w:ascii="Times New Roman" w:hAnsi="Times New Roman" w:cs="Times New Roman"/>
        </w:rPr>
        <w:t>fifth</w:t>
      </w:r>
      <w:r w:rsidR="00D05910" w:rsidRPr="00C607C1">
        <w:rPr>
          <w:rStyle w:val="normaltextrun"/>
          <w:rFonts w:ascii="Times New Roman" w:hAnsi="Times New Roman" w:cs="Times New Roman"/>
        </w:rPr>
        <w:t xml:space="preserve"> </w:t>
      </w:r>
      <w:r w:rsidRPr="00C607C1">
        <w:rPr>
          <w:rStyle w:val="normaltextrun"/>
          <w:rFonts w:ascii="Times New Roman" w:hAnsi="Times New Roman" w:cs="Times New Roman"/>
        </w:rPr>
        <w:t xml:space="preserve">floor of the Ryals Building with a suite of faculty offices, staff offices, and student cubicles. </w:t>
      </w:r>
      <w:r w:rsidR="00FB1EE1" w:rsidRPr="00FB1EE1">
        <w:rPr>
          <w:rFonts w:ascii="Times New Roman" w:hAnsi="Times New Roman" w:cs="Times New Roman"/>
        </w:rPr>
        <w:t>We also have seven rooms on the fourth floor and 22 suites on the second floor, including administrative offices and a dedicated team for grants administration and management located in two suites on the fourth floor.</w:t>
      </w:r>
      <w:r w:rsidR="008B0B5C">
        <w:rPr>
          <w:rFonts w:ascii="Times New Roman" w:hAnsi="Times New Roman" w:cs="Times New Roman"/>
        </w:rPr>
        <w:t xml:space="preserve"> </w:t>
      </w:r>
      <w:r w:rsidR="008B0B5C" w:rsidRPr="00F77FA8">
        <w:rPr>
          <w:rFonts w:ascii="Times New Roman" w:hAnsi="Times New Roman" w:cs="Times New Roman"/>
        </w:rPr>
        <w:t xml:space="preserve">Research directed by faculty in the Department of </w:t>
      </w:r>
      <w:r w:rsidR="008B0B5C">
        <w:rPr>
          <w:rFonts w:ascii="Times New Roman" w:hAnsi="Times New Roman" w:cs="Times New Roman"/>
        </w:rPr>
        <w:t>Health Policy and Organization</w:t>
      </w:r>
      <w:r w:rsidR="008B0B5C" w:rsidRPr="00F77FA8">
        <w:rPr>
          <w:rFonts w:ascii="Times New Roman" w:hAnsi="Times New Roman" w:cs="Times New Roman"/>
        </w:rPr>
        <w:t xml:space="preserve"> during FY2024 was $</w:t>
      </w:r>
      <w:r w:rsidR="008B0B5C">
        <w:rPr>
          <w:rFonts w:ascii="Times New Roman" w:hAnsi="Times New Roman" w:cs="Times New Roman"/>
        </w:rPr>
        <w:t>43.2</w:t>
      </w:r>
      <w:r w:rsidR="008B0B5C" w:rsidRPr="00F77FA8">
        <w:rPr>
          <w:rFonts w:ascii="Times New Roman" w:hAnsi="Times New Roman" w:cs="Times New Roman"/>
        </w:rPr>
        <w:t xml:space="preserve"> million (</w:t>
      </w:r>
      <w:r w:rsidR="008B0B5C">
        <w:rPr>
          <w:rFonts w:ascii="Times New Roman" w:hAnsi="Times New Roman" w:cs="Times New Roman"/>
        </w:rPr>
        <w:t>78.5</w:t>
      </w:r>
      <w:r w:rsidR="008B0B5C" w:rsidRPr="00F77FA8">
        <w:rPr>
          <w:rFonts w:ascii="Times New Roman" w:hAnsi="Times New Roman" w:cs="Times New Roman"/>
        </w:rPr>
        <w:t xml:space="preserve">% from the </w:t>
      </w:r>
      <w:r w:rsidR="008B0B5C">
        <w:rPr>
          <w:rFonts w:ascii="Times New Roman" w:hAnsi="Times New Roman" w:cs="Times New Roman"/>
        </w:rPr>
        <w:t>Centers for Disease Control and Prevention</w:t>
      </w:r>
      <w:r w:rsidR="008B0B5C" w:rsidRPr="00F77FA8">
        <w:rPr>
          <w:rFonts w:ascii="Times New Roman" w:hAnsi="Times New Roman" w:cs="Times New Roman"/>
        </w:rPr>
        <w:t>).</w:t>
      </w:r>
    </w:p>
    <w:bookmarkEnd w:id="6"/>
    <w:p w14:paraId="529B88CA" w14:textId="77777777" w:rsidR="00E449E5" w:rsidRPr="00C607C1" w:rsidRDefault="00E449E5" w:rsidP="008B0B5C">
      <w:pPr>
        <w:rPr>
          <w:rFonts w:ascii="Times New Roman" w:hAnsi="Times New Roman" w:cs="Times New Roman"/>
          <w:b/>
          <w:bCs/>
          <w:u w:val="single"/>
        </w:rPr>
      </w:pPr>
      <w:r w:rsidRPr="00C607C1">
        <w:rPr>
          <w:rFonts w:ascii="Times New Roman" w:hAnsi="Times New Roman" w:cs="Times New Roman"/>
          <w:b/>
          <w:bCs/>
          <w:u w:val="single"/>
        </w:rPr>
        <w:t xml:space="preserve">School of Medicine: Anupam Agarwal, Dean </w:t>
      </w:r>
    </w:p>
    <w:p w14:paraId="6503B695" w14:textId="5DF655D1" w:rsidR="002971B1" w:rsidRPr="008B0B5C" w:rsidRDefault="00E449E5" w:rsidP="008B0B5C">
      <w:pPr>
        <w:pStyle w:val="DataField11pt-Single"/>
        <w:spacing w:after="160" w:line="259" w:lineRule="auto"/>
      </w:pPr>
      <w:r w:rsidRPr="00C607C1">
        <w:rPr>
          <w:rStyle w:val="normaltextrun"/>
          <w:rFonts w:ascii="Times New Roman" w:hAnsi="Times New Roman" w:cs="Times New Roman"/>
        </w:rPr>
        <w:t xml:space="preserve">As the largest School within UAB, the School of Medicine is dedicated to the education of physicians and scientists in all of the disciplines of medicine and biomedical investigation. </w:t>
      </w:r>
      <w:r w:rsidR="008A76BE" w:rsidRPr="007F7DC5">
        <w:rPr>
          <w:rFonts w:ascii="Times New Roman" w:hAnsi="Times New Roman" w:cs="Times New Roman"/>
          <w:szCs w:val="22"/>
        </w:rPr>
        <w:t>The school is made up of over 800 students, more than 1100 residents, and over 1800 faculty members in 28 academic departments.</w:t>
      </w:r>
      <w:r w:rsidR="008A76BE" w:rsidRPr="001D2E63">
        <w:rPr>
          <w:szCs w:val="22"/>
        </w:rPr>
        <w:t xml:space="preserve"> </w:t>
      </w:r>
      <w:r w:rsidRPr="00C607C1">
        <w:rPr>
          <w:rStyle w:val="normaltextrun"/>
          <w:rFonts w:ascii="Times New Roman" w:hAnsi="Times New Roman" w:cs="Times New Roman"/>
        </w:rPr>
        <w:t xml:space="preserve">The school provides medical education and internship opportunities for students throughout the world. Its comprehensive approach to teaching future physicians covers all facets of medicine, including medical education, research, and patient care -- delivered in one of the most technologically advanced medical facilities in the country. The School of Medicine has nationally recognized clinical programs in many areas including, but not limited to Nephrology, Oncology, Neurology, Psychiatry, and Immunology/Rheumatology. The School of Medicine is also a national leader in research and has been ranked in the top 30 of NIH funded Schools of Medicine for more than 20 years. </w:t>
      </w:r>
      <w:r w:rsidR="001869E2" w:rsidRPr="00C607C1">
        <w:rPr>
          <w:rStyle w:val="normaltextrun"/>
          <w:rFonts w:ascii="Times New Roman" w:hAnsi="Times New Roman" w:cs="Times New Roman"/>
        </w:rPr>
        <w:t>In 202</w:t>
      </w:r>
      <w:r w:rsidR="008F4241">
        <w:rPr>
          <w:rStyle w:val="normaltextrun"/>
          <w:rFonts w:ascii="Times New Roman" w:hAnsi="Times New Roman" w:cs="Times New Roman"/>
        </w:rPr>
        <w:t>4</w:t>
      </w:r>
      <w:r w:rsidR="001869E2" w:rsidRPr="00C607C1">
        <w:rPr>
          <w:rStyle w:val="normaltextrun"/>
          <w:rFonts w:ascii="Times New Roman" w:hAnsi="Times New Roman" w:cs="Times New Roman"/>
        </w:rPr>
        <w:t>, the School of Medicine received $2</w:t>
      </w:r>
      <w:r w:rsidR="008F4241">
        <w:rPr>
          <w:rStyle w:val="normaltextrun"/>
          <w:rFonts w:ascii="Times New Roman" w:hAnsi="Times New Roman" w:cs="Times New Roman"/>
        </w:rPr>
        <w:t>71</w:t>
      </w:r>
      <w:r w:rsidR="001869E2" w:rsidRPr="00C607C1">
        <w:rPr>
          <w:rStyle w:val="normaltextrun"/>
          <w:rFonts w:ascii="Times New Roman" w:hAnsi="Times New Roman" w:cs="Times New Roman"/>
        </w:rPr>
        <w:t xml:space="preserve"> million in NIH </w:t>
      </w:r>
      <w:r w:rsidR="003501E6" w:rsidRPr="00C607C1">
        <w:rPr>
          <w:rStyle w:val="normaltextrun"/>
          <w:rFonts w:ascii="Times New Roman" w:hAnsi="Times New Roman" w:cs="Times New Roman"/>
        </w:rPr>
        <w:t>funding,</w:t>
      </w:r>
      <w:r w:rsidR="001869E2" w:rsidRPr="00C607C1">
        <w:rPr>
          <w:rStyle w:val="normaltextrun"/>
          <w:rFonts w:ascii="Times New Roman" w:hAnsi="Times New Roman" w:cs="Times New Roman"/>
        </w:rPr>
        <w:t xml:space="preserve"> ranking them No. 2</w:t>
      </w:r>
      <w:r w:rsidR="008F4241">
        <w:rPr>
          <w:rStyle w:val="normaltextrun"/>
          <w:rFonts w:ascii="Times New Roman" w:hAnsi="Times New Roman" w:cs="Times New Roman"/>
        </w:rPr>
        <w:t>8</w:t>
      </w:r>
      <w:r w:rsidR="001869E2" w:rsidRPr="00C607C1">
        <w:rPr>
          <w:rStyle w:val="normaltextrun"/>
          <w:rFonts w:ascii="Times New Roman" w:hAnsi="Times New Roman" w:cs="Times New Roman"/>
        </w:rPr>
        <w:t xml:space="preserve"> </w:t>
      </w:r>
      <w:r w:rsidR="00AA379E" w:rsidRPr="00C607C1">
        <w:rPr>
          <w:rStyle w:val="normaltextrun"/>
          <w:rFonts w:ascii="Times New Roman" w:hAnsi="Times New Roman" w:cs="Times New Roman"/>
        </w:rPr>
        <w:t>among</w:t>
      </w:r>
      <w:r w:rsidR="001869E2" w:rsidRPr="00C607C1">
        <w:rPr>
          <w:rStyle w:val="normaltextrun"/>
          <w:rFonts w:ascii="Times New Roman" w:hAnsi="Times New Roman" w:cs="Times New Roman"/>
        </w:rPr>
        <w:t xml:space="preserve"> all schools </w:t>
      </w:r>
      <w:r w:rsidR="00AA379E" w:rsidRPr="00C607C1">
        <w:rPr>
          <w:rStyle w:val="normaltextrun"/>
          <w:rFonts w:ascii="Times New Roman" w:hAnsi="Times New Roman" w:cs="Times New Roman"/>
        </w:rPr>
        <w:t>for</w:t>
      </w:r>
      <w:r w:rsidR="001869E2" w:rsidRPr="00C607C1">
        <w:rPr>
          <w:rStyle w:val="normaltextrun"/>
          <w:rFonts w:ascii="Times New Roman" w:hAnsi="Times New Roman" w:cs="Times New Roman"/>
        </w:rPr>
        <w:t xml:space="preserve"> NIH funding, and No. 1</w:t>
      </w:r>
      <w:r w:rsidR="008F4241">
        <w:rPr>
          <w:rStyle w:val="normaltextrun"/>
          <w:rFonts w:ascii="Times New Roman" w:hAnsi="Times New Roman" w:cs="Times New Roman"/>
        </w:rPr>
        <w:t>2</w:t>
      </w:r>
      <w:r w:rsidR="001869E2" w:rsidRPr="00C607C1">
        <w:rPr>
          <w:rStyle w:val="normaltextrun"/>
          <w:rFonts w:ascii="Times New Roman" w:hAnsi="Times New Roman" w:cs="Times New Roman"/>
        </w:rPr>
        <w:t xml:space="preserve"> </w:t>
      </w:r>
      <w:r w:rsidR="00AA379E" w:rsidRPr="00C607C1">
        <w:rPr>
          <w:rStyle w:val="normaltextrun"/>
          <w:rFonts w:ascii="Times New Roman" w:hAnsi="Times New Roman" w:cs="Times New Roman"/>
        </w:rPr>
        <w:t>among</w:t>
      </w:r>
      <w:r w:rsidR="001869E2" w:rsidRPr="00C607C1">
        <w:rPr>
          <w:rStyle w:val="normaltextrun"/>
          <w:rFonts w:ascii="Times New Roman" w:hAnsi="Times New Roman" w:cs="Times New Roman"/>
        </w:rPr>
        <w:t xml:space="preserve"> public schools </w:t>
      </w:r>
      <w:r w:rsidR="00AA379E" w:rsidRPr="00C607C1">
        <w:rPr>
          <w:rStyle w:val="normaltextrun"/>
          <w:rFonts w:ascii="Times New Roman" w:hAnsi="Times New Roman" w:cs="Times New Roman"/>
        </w:rPr>
        <w:t>for</w:t>
      </w:r>
      <w:r w:rsidR="001869E2" w:rsidRPr="00C607C1">
        <w:rPr>
          <w:rStyle w:val="normaltextrun"/>
          <w:rFonts w:ascii="Times New Roman" w:hAnsi="Times New Roman" w:cs="Times New Roman"/>
        </w:rPr>
        <w:t xml:space="preserve"> NIH funding. In 20</w:t>
      </w:r>
      <w:r w:rsidR="0066297E">
        <w:rPr>
          <w:rStyle w:val="normaltextrun"/>
          <w:rFonts w:ascii="Times New Roman" w:hAnsi="Times New Roman" w:cs="Times New Roman"/>
        </w:rPr>
        <w:t>24</w:t>
      </w:r>
      <w:r w:rsidR="001869E2" w:rsidRPr="00C607C1">
        <w:rPr>
          <w:rStyle w:val="normaltextrun"/>
          <w:rFonts w:ascii="Times New Roman" w:hAnsi="Times New Roman" w:cs="Times New Roman"/>
        </w:rPr>
        <w:t xml:space="preserve">, </w:t>
      </w:r>
      <w:r w:rsidR="008F4241">
        <w:rPr>
          <w:rStyle w:val="normaltextrun"/>
          <w:rFonts w:ascii="Times New Roman" w:hAnsi="Times New Roman" w:cs="Times New Roman"/>
        </w:rPr>
        <w:t xml:space="preserve">nine </w:t>
      </w:r>
      <w:r w:rsidR="001869E2" w:rsidRPr="00C607C1">
        <w:rPr>
          <w:rStyle w:val="normaltextrun"/>
          <w:rFonts w:ascii="Times New Roman" w:hAnsi="Times New Roman" w:cs="Times New Roman"/>
        </w:rPr>
        <w:t xml:space="preserve">departments were ranked in the top </w:t>
      </w:r>
      <w:r w:rsidR="008F4241">
        <w:rPr>
          <w:rStyle w:val="normaltextrun"/>
          <w:rFonts w:ascii="Times New Roman" w:hAnsi="Times New Roman" w:cs="Times New Roman"/>
        </w:rPr>
        <w:t>20</w:t>
      </w:r>
      <w:r w:rsidR="001869E2" w:rsidRPr="00C607C1">
        <w:rPr>
          <w:rStyle w:val="normaltextrun"/>
          <w:rFonts w:ascii="Times New Roman" w:hAnsi="Times New Roman" w:cs="Times New Roman"/>
        </w:rPr>
        <w:t xml:space="preserve"> for NIH funding, including No. </w:t>
      </w:r>
      <w:r w:rsidR="0066297E">
        <w:rPr>
          <w:rStyle w:val="normaltextrun"/>
          <w:rFonts w:ascii="Times New Roman" w:hAnsi="Times New Roman" w:cs="Times New Roman"/>
        </w:rPr>
        <w:t>18</w:t>
      </w:r>
      <w:r w:rsidR="0066297E" w:rsidRPr="00C607C1">
        <w:rPr>
          <w:rStyle w:val="normaltextrun"/>
          <w:rFonts w:ascii="Times New Roman" w:hAnsi="Times New Roman" w:cs="Times New Roman"/>
        </w:rPr>
        <w:t xml:space="preserve"> </w:t>
      </w:r>
      <w:r w:rsidR="001869E2" w:rsidRPr="00C607C1">
        <w:rPr>
          <w:rStyle w:val="normaltextrun"/>
          <w:rFonts w:ascii="Times New Roman" w:hAnsi="Times New Roman" w:cs="Times New Roman"/>
        </w:rPr>
        <w:t xml:space="preserve">Dermatology, No. </w:t>
      </w:r>
      <w:r w:rsidR="0066297E">
        <w:rPr>
          <w:rStyle w:val="normaltextrun"/>
          <w:rFonts w:ascii="Times New Roman" w:hAnsi="Times New Roman" w:cs="Times New Roman"/>
        </w:rPr>
        <w:t>16</w:t>
      </w:r>
      <w:r w:rsidR="0066297E" w:rsidRPr="00C607C1">
        <w:rPr>
          <w:rStyle w:val="normaltextrun"/>
          <w:rFonts w:ascii="Times New Roman" w:hAnsi="Times New Roman" w:cs="Times New Roman"/>
        </w:rPr>
        <w:t xml:space="preserve"> </w:t>
      </w:r>
      <w:r w:rsidR="0066297E">
        <w:rPr>
          <w:rStyle w:val="normaltextrun"/>
          <w:rFonts w:ascii="Times New Roman" w:hAnsi="Times New Roman" w:cs="Times New Roman"/>
        </w:rPr>
        <w:t>Microbiology</w:t>
      </w:r>
      <w:r w:rsidR="001869E2" w:rsidRPr="00C607C1">
        <w:rPr>
          <w:rStyle w:val="normaltextrun"/>
          <w:rFonts w:ascii="Times New Roman" w:hAnsi="Times New Roman" w:cs="Times New Roman"/>
        </w:rPr>
        <w:t xml:space="preserve">, No. </w:t>
      </w:r>
      <w:r w:rsidR="0066297E" w:rsidRPr="00C607C1">
        <w:rPr>
          <w:rStyle w:val="normaltextrun"/>
          <w:rFonts w:ascii="Times New Roman" w:hAnsi="Times New Roman" w:cs="Times New Roman"/>
        </w:rPr>
        <w:t>1</w:t>
      </w:r>
      <w:r w:rsidR="0066297E">
        <w:rPr>
          <w:rStyle w:val="normaltextrun"/>
          <w:rFonts w:ascii="Times New Roman" w:hAnsi="Times New Roman" w:cs="Times New Roman"/>
        </w:rPr>
        <w:t>2</w:t>
      </w:r>
      <w:r w:rsidR="0066297E" w:rsidRPr="00C607C1">
        <w:rPr>
          <w:rStyle w:val="normaltextrun"/>
          <w:rFonts w:ascii="Times New Roman" w:hAnsi="Times New Roman" w:cs="Times New Roman"/>
        </w:rPr>
        <w:t xml:space="preserve"> </w:t>
      </w:r>
      <w:r w:rsidR="001869E2" w:rsidRPr="00C607C1">
        <w:rPr>
          <w:rStyle w:val="normaltextrun"/>
          <w:rFonts w:ascii="Times New Roman" w:hAnsi="Times New Roman" w:cs="Times New Roman"/>
        </w:rPr>
        <w:t xml:space="preserve">Biomedical Engineering, and No 10. </w:t>
      </w:r>
      <w:r w:rsidR="0066297E">
        <w:rPr>
          <w:rStyle w:val="normaltextrun"/>
          <w:rFonts w:ascii="Times New Roman" w:hAnsi="Times New Roman" w:cs="Times New Roman"/>
        </w:rPr>
        <w:t>Obstetrics and Gynecology</w:t>
      </w:r>
      <w:r w:rsidR="001869E2" w:rsidRPr="00C607C1">
        <w:rPr>
          <w:rStyle w:val="normaltextrun"/>
          <w:rFonts w:ascii="Times New Roman" w:hAnsi="Times New Roman" w:cs="Times New Roman"/>
        </w:rPr>
        <w:t xml:space="preserve">. </w:t>
      </w:r>
    </w:p>
    <w:p w14:paraId="4C44C9D4" w14:textId="7F25B7A8" w:rsidR="0086004B" w:rsidRPr="00C607C1" w:rsidRDefault="009B04C8" w:rsidP="008B0B5C">
      <w:pPr>
        <w:rPr>
          <w:rFonts w:ascii="Times New Roman" w:hAnsi="Times New Roman" w:cs="Times New Roman"/>
          <w:b/>
          <w:bCs/>
          <w:u w:val="single"/>
        </w:rPr>
      </w:pPr>
      <w:r w:rsidRPr="00C607C1">
        <w:rPr>
          <w:rFonts w:ascii="Times New Roman" w:hAnsi="Times New Roman" w:cs="Times New Roman"/>
          <w:b/>
          <w:bCs/>
          <w:u w:val="single"/>
        </w:rPr>
        <w:t>Department of Medicine</w:t>
      </w:r>
      <w:r w:rsidR="0086004B" w:rsidRPr="00C607C1">
        <w:rPr>
          <w:rFonts w:ascii="Times New Roman" w:hAnsi="Times New Roman" w:cs="Times New Roman"/>
          <w:b/>
          <w:bCs/>
          <w:u w:val="single"/>
        </w:rPr>
        <w:t xml:space="preserve">, </w:t>
      </w:r>
      <w:r w:rsidR="00FB1F9D">
        <w:rPr>
          <w:rFonts w:ascii="Times New Roman" w:hAnsi="Times New Roman" w:cs="Times New Roman"/>
          <w:b/>
          <w:bCs/>
          <w:u w:val="single"/>
        </w:rPr>
        <w:t>Mark Dransfield</w:t>
      </w:r>
      <w:r w:rsidR="0086004B" w:rsidRPr="00C607C1">
        <w:rPr>
          <w:rFonts w:ascii="Times New Roman" w:hAnsi="Times New Roman" w:cs="Times New Roman"/>
          <w:b/>
          <w:bCs/>
          <w:u w:val="single"/>
        </w:rPr>
        <w:t xml:space="preserve">, MD, Chair </w:t>
      </w:r>
    </w:p>
    <w:p w14:paraId="088FCEFC" w14:textId="2469487B" w:rsidR="009B04C8" w:rsidRPr="00C607C1" w:rsidRDefault="00E449E5" w:rsidP="008B0B5C">
      <w:pPr>
        <w:rPr>
          <w:rStyle w:val="normaltextrun"/>
          <w:rFonts w:ascii="Times New Roman" w:hAnsi="Times New Roman" w:cs="Times New Roman"/>
        </w:rPr>
      </w:pPr>
      <w:r w:rsidRPr="00C607C1">
        <w:rPr>
          <w:rStyle w:val="normaltextrun"/>
          <w:rFonts w:ascii="Times New Roman" w:hAnsi="Times New Roman" w:cs="Times New Roman"/>
        </w:rPr>
        <w:t xml:space="preserve">The </w:t>
      </w:r>
      <w:r w:rsidR="00E93E6C">
        <w:rPr>
          <w:rStyle w:val="normaltextrun"/>
          <w:rFonts w:ascii="Times New Roman" w:hAnsi="Times New Roman" w:cs="Times New Roman"/>
        </w:rPr>
        <w:t xml:space="preserve">UAB </w:t>
      </w:r>
      <w:r w:rsidRPr="00C607C1">
        <w:rPr>
          <w:rStyle w:val="normaltextrun"/>
          <w:rFonts w:ascii="Times New Roman" w:hAnsi="Times New Roman" w:cs="Times New Roman"/>
        </w:rPr>
        <w:t>Department of Medicine</w:t>
      </w:r>
      <w:r w:rsidR="00E93E6C">
        <w:rPr>
          <w:rStyle w:val="normaltextrun"/>
          <w:rFonts w:ascii="Times New Roman" w:hAnsi="Times New Roman" w:cs="Times New Roman"/>
        </w:rPr>
        <w:t xml:space="preserve"> (DOM)</w:t>
      </w:r>
      <w:r w:rsidRPr="00C607C1">
        <w:rPr>
          <w:rStyle w:val="normaltextrun"/>
          <w:rFonts w:ascii="Times New Roman" w:hAnsi="Times New Roman" w:cs="Times New Roman"/>
        </w:rPr>
        <w:t xml:space="preserve"> </w:t>
      </w:r>
      <w:r w:rsidR="008A76BE">
        <w:rPr>
          <w:rStyle w:val="normaltextrun"/>
          <w:rFonts w:ascii="Times New Roman" w:hAnsi="Times New Roman" w:cs="Times New Roman"/>
        </w:rPr>
        <w:t xml:space="preserve">is made of 10 divisions including </w:t>
      </w:r>
      <w:r w:rsidR="00E93E6C">
        <w:rPr>
          <w:rStyle w:val="normaltextrun"/>
          <w:rFonts w:ascii="Times New Roman" w:hAnsi="Times New Roman" w:cs="Times New Roman"/>
        </w:rPr>
        <w:t xml:space="preserve">Cardiovascular Disease, Clinical Immunology and Rheumatology, Endocrinology, Gastroenterology and Hepatology, General Internal Medicine, Gerontology, Hematology Oncology, Infectious Disease, Nephrology, and Pulmonary, Allergy and Critical care.  </w:t>
      </w:r>
      <w:r w:rsidR="008A76BE" w:rsidRPr="00C607C1">
        <w:rPr>
          <w:rStyle w:val="normaltextrun"/>
          <w:rFonts w:ascii="Times New Roman" w:hAnsi="Times New Roman" w:cs="Times New Roman"/>
        </w:rPr>
        <w:t xml:space="preserve"> </w:t>
      </w:r>
      <w:r w:rsidR="00F811CA" w:rsidRPr="007F7DC5">
        <w:rPr>
          <w:rFonts w:ascii="Times New Roman" w:hAnsi="Times New Roman" w:cs="Times New Roman"/>
        </w:rPr>
        <w:t>The department ranks #17 in the nation in NIH research and has award-winning scientific discovery programs.</w:t>
      </w:r>
      <w:r w:rsidR="00F811CA" w:rsidRPr="001D2E63">
        <w:t xml:space="preserve"> </w:t>
      </w:r>
      <w:r w:rsidR="009B04C8" w:rsidRPr="00C607C1">
        <w:rPr>
          <w:rStyle w:val="normaltextrun"/>
          <w:rFonts w:ascii="Times New Roman" w:hAnsi="Times New Roman" w:cs="Times New Roman"/>
        </w:rPr>
        <w:t xml:space="preserve">The </w:t>
      </w:r>
      <w:r w:rsidR="00E93E6C">
        <w:rPr>
          <w:rStyle w:val="normaltextrun"/>
          <w:rFonts w:ascii="Times New Roman" w:hAnsi="Times New Roman" w:cs="Times New Roman"/>
        </w:rPr>
        <w:t>DOM</w:t>
      </w:r>
      <w:r w:rsidR="009B04C8" w:rsidRPr="00C607C1">
        <w:rPr>
          <w:rStyle w:val="normaltextrun"/>
          <w:rFonts w:ascii="Times New Roman" w:hAnsi="Times New Roman" w:cs="Times New Roman"/>
        </w:rPr>
        <w:t xml:space="preserve"> strives for excellence in teaching, research</w:t>
      </w:r>
      <w:r w:rsidR="0086004B" w:rsidRPr="00C607C1">
        <w:rPr>
          <w:rStyle w:val="normaltextrun"/>
          <w:rFonts w:ascii="Times New Roman" w:hAnsi="Times New Roman" w:cs="Times New Roman"/>
        </w:rPr>
        <w:t xml:space="preserve"> </w:t>
      </w:r>
      <w:r w:rsidR="009B04C8" w:rsidRPr="00C607C1">
        <w:rPr>
          <w:rStyle w:val="normaltextrun"/>
          <w:rFonts w:ascii="Times New Roman" w:hAnsi="Times New Roman" w:cs="Times New Roman"/>
        </w:rPr>
        <w:t>and patient care. In this way, it is committed to providing outstanding clinical service to its patients and</w:t>
      </w:r>
      <w:r w:rsidR="0086004B" w:rsidRPr="00C607C1">
        <w:rPr>
          <w:rStyle w:val="normaltextrun"/>
          <w:rFonts w:ascii="Times New Roman" w:hAnsi="Times New Roman" w:cs="Times New Roman"/>
        </w:rPr>
        <w:t xml:space="preserve"> </w:t>
      </w:r>
      <w:r w:rsidR="009B04C8" w:rsidRPr="00C607C1">
        <w:rPr>
          <w:rStyle w:val="normaltextrun"/>
          <w:rFonts w:ascii="Times New Roman" w:hAnsi="Times New Roman" w:cs="Times New Roman"/>
        </w:rPr>
        <w:t>to the community, to providing exceptional medical education for medical students, residents, and other</w:t>
      </w:r>
      <w:r w:rsidR="0086004B" w:rsidRPr="00C607C1">
        <w:rPr>
          <w:rStyle w:val="normaltextrun"/>
          <w:rFonts w:ascii="Times New Roman" w:hAnsi="Times New Roman" w:cs="Times New Roman"/>
        </w:rPr>
        <w:t xml:space="preserve"> </w:t>
      </w:r>
      <w:r w:rsidR="009B04C8" w:rsidRPr="00C607C1">
        <w:rPr>
          <w:rStyle w:val="normaltextrun"/>
          <w:rFonts w:ascii="Times New Roman" w:hAnsi="Times New Roman" w:cs="Times New Roman"/>
        </w:rPr>
        <w:t>health professionals, and to providing innovative research to expand the frontiers of biomedical</w:t>
      </w:r>
      <w:r w:rsidR="0086004B" w:rsidRPr="00C607C1">
        <w:rPr>
          <w:rStyle w:val="normaltextrun"/>
          <w:rFonts w:ascii="Times New Roman" w:hAnsi="Times New Roman" w:cs="Times New Roman"/>
        </w:rPr>
        <w:t xml:space="preserve"> </w:t>
      </w:r>
      <w:r w:rsidR="009B04C8" w:rsidRPr="00C607C1">
        <w:rPr>
          <w:rStyle w:val="normaltextrun"/>
          <w:rFonts w:ascii="Times New Roman" w:hAnsi="Times New Roman" w:cs="Times New Roman"/>
        </w:rPr>
        <w:t>knowledge and clinical practice. Underlying this mission statement is the belief that biomedical research is the</w:t>
      </w:r>
      <w:r w:rsidR="0086004B" w:rsidRPr="00C607C1">
        <w:rPr>
          <w:rStyle w:val="normaltextrun"/>
          <w:rFonts w:ascii="Times New Roman" w:hAnsi="Times New Roman" w:cs="Times New Roman"/>
        </w:rPr>
        <w:t xml:space="preserve"> </w:t>
      </w:r>
      <w:r w:rsidR="009B04C8" w:rsidRPr="00C607C1">
        <w:rPr>
          <w:rStyle w:val="normaltextrun"/>
          <w:rFonts w:ascii="Times New Roman" w:hAnsi="Times New Roman" w:cs="Times New Roman"/>
        </w:rPr>
        <w:t xml:space="preserve">academic center’s defining characteristic. </w:t>
      </w:r>
    </w:p>
    <w:p w14:paraId="118B0B9F" w14:textId="77777777" w:rsidR="00AE3C02" w:rsidRPr="00C607C1" w:rsidRDefault="000D70B1" w:rsidP="008B0B5C">
      <w:pPr>
        <w:rPr>
          <w:rFonts w:ascii="Times New Roman" w:hAnsi="Times New Roman" w:cs="Times New Roman"/>
        </w:rPr>
      </w:pPr>
      <w:r w:rsidRPr="00C607C1">
        <w:rPr>
          <w:rStyle w:val="markedcontent"/>
          <w:rFonts w:ascii="Times New Roman" w:hAnsi="Times New Roman" w:cs="Times New Roman"/>
          <w:b/>
          <w:u w:val="single"/>
        </w:rPr>
        <w:t xml:space="preserve">UAB’s </w:t>
      </w:r>
      <w:r w:rsidRPr="00C607C1">
        <w:rPr>
          <w:rStyle w:val="highlight"/>
          <w:rFonts w:ascii="Times New Roman" w:hAnsi="Times New Roman" w:cs="Times New Roman"/>
          <w:b/>
          <w:u w:val="single"/>
        </w:rPr>
        <w:t>Harber</w:t>
      </w:r>
      <w:r w:rsidRPr="00C607C1">
        <w:rPr>
          <w:rStyle w:val="markedcontent"/>
          <w:rFonts w:ascii="Times New Roman" w:hAnsi="Times New Roman" w:cs="Times New Roman"/>
          <w:b/>
          <w:u w:val="single"/>
        </w:rPr>
        <w:t>t Institute for Innovation and Entrepreneurship</w:t>
      </w:r>
    </w:p>
    <w:p w14:paraId="5CAD517E" w14:textId="66406A75" w:rsidR="00C43CBB" w:rsidRPr="007F7DC5" w:rsidRDefault="00C43CBB" w:rsidP="008B0B5C">
      <w:pPr>
        <w:rPr>
          <w:rFonts w:ascii="Times New Roman" w:hAnsi="Times New Roman" w:cs="Times New Roman"/>
          <w:shd w:val="clear" w:color="auto" w:fill="FFFFFF"/>
        </w:rPr>
      </w:pPr>
      <w:r w:rsidRPr="007F7DC5">
        <w:rPr>
          <w:rFonts w:ascii="Times New Roman" w:hAnsi="Times New Roman" w:cs="Times New Roman"/>
          <w:shd w:val="clear" w:color="auto" w:fill="FFFFFF"/>
        </w:rPr>
        <w:lastRenderedPageBreak/>
        <w:t>The Bill L. Harbert Institute for Innovation and Entrepreneurship (HIIE) assists UAB faculty, staff, and students to protect and commercialize their inventions. HIIE fosters an ecosystem that promotes and sustains innovative and entrepreneurial excellence through the building of relationships between research and industry in the local community, and beyond. HIIE strategically evaluates, protects, and licenses technology while also providing resources for patenting, funding, and startup formation. With total research expenditures exceeding $602 million, UAB is a powerhouse for academic, clinical and research innovation. The HIIE facilitates rapid development of new ideas, products and technologies and prepares faculty, students, and researchers to become entrepreneurs in an increasingly technology-driven ecosystem. To date, the HIIE office has received more than 2,800 intellectual property disclosures, facilitated the issue of more than 600 U.S. patents, and assisted with the creation of nearly 75 companies based on UAB technologies, generating more than $100 million in total revenue. In 2023 alone, HIIE generated more than $6 million in revenues with 123 intellectual property disclosures, 40 licenses, and 18 U.S. patents. The institute also achieved its ninth straight year with a positive bottom line, putting HIIE among top 20 percent nationally</w:t>
      </w:r>
      <w:r>
        <w:rPr>
          <w:rFonts w:ascii="Times New Roman" w:hAnsi="Times New Roman" w:cs="Times New Roman"/>
          <w:shd w:val="clear" w:color="auto" w:fill="FFFFFF"/>
        </w:rPr>
        <w:t>.</w:t>
      </w:r>
    </w:p>
    <w:p w14:paraId="2ACA4B90" w14:textId="7F80A539" w:rsidR="00860127" w:rsidRPr="00C607C1" w:rsidRDefault="00860127" w:rsidP="008B0B5C">
      <w:pPr>
        <w:rPr>
          <w:rFonts w:ascii="Times New Roman" w:hAnsi="Times New Roman" w:cs="Times New Roman"/>
          <w:b/>
          <w:bCs/>
          <w:u w:val="single"/>
        </w:rPr>
      </w:pPr>
      <w:r w:rsidRPr="00C607C1">
        <w:rPr>
          <w:rFonts w:ascii="Times New Roman" w:hAnsi="Times New Roman" w:cs="Times New Roman"/>
          <w:b/>
          <w:bCs/>
          <w:u w:val="single"/>
        </w:rPr>
        <w:t>Southern Research</w:t>
      </w:r>
    </w:p>
    <w:p w14:paraId="24AFA371" w14:textId="77777777" w:rsidR="002971B1" w:rsidRDefault="00C43CBB" w:rsidP="008B0B5C">
      <w:pPr>
        <w:rPr>
          <w:rFonts w:eastAsia="Calibri" w:cs="Arial"/>
        </w:rPr>
      </w:pPr>
      <w:r w:rsidRPr="007F7DC5">
        <w:rPr>
          <w:rFonts w:ascii="Times New Roman" w:hAnsi="Times New Roman" w:cs="Times New Roman"/>
        </w:rPr>
        <w:t xml:space="preserve">Southern Research (SR) (prior to 2015 referred to as Southern Research Institute or SRI) is a not-for-profit research organization that has been in operation since 1941. In terms of drug discovery and development, SR has a proven record of success such as seven FDA-approved anticancer drugs as well as pioneered works in other therapeutic areas including infectious diseases, neurology, rare diseases, metabolic disorders, </w:t>
      </w:r>
      <w:r w:rsidRPr="007F7DC5">
        <w:rPr>
          <w:rFonts w:ascii="Times New Roman" w:hAnsi="Times New Roman" w:cs="Times New Roman"/>
          <w:i/>
        </w:rPr>
        <w:t>etc</w:t>
      </w:r>
      <w:r w:rsidRPr="007F7DC5">
        <w:rPr>
          <w:rFonts w:ascii="Times New Roman" w:hAnsi="Times New Roman" w:cs="Times New Roman"/>
        </w:rPr>
        <w:t xml:space="preserve">. SR is located in Birmingham, Alabama and employs approximately 195 research scientists, technical staff, and support staff, and has a long-standing record of productivity in conducting governmental and industrial research grants and contracts. </w:t>
      </w:r>
      <w:r w:rsidRPr="007F7DC5">
        <w:rPr>
          <w:rFonts w:ascii="Times New Roman" w:eastAsia="Calibri" w:hAnsi="Times New Roman" w:cs="Times New Roman"/>
        </w:rPr>
        <w:t>SR is internationally recognized for its outstanding track record in the discovery and development of antiviral drugs and small molecule cancer therapeutics. For example, six FDA-approved anticancer drugs (lomustine, carmustine, dacarbazine, fludarabine, clofarabine, and pralatrexate) and one cytoprotective agent (ethyol) were all discovered and developed at SR. SR is also a major contributor to the NCI’s Chemical Biological Consortium and was a past member of the Molecular Libraries Probe Production Centers Network, a collaborative research initiative to identify small molecule chemical probes for the biomedical research community.</w:t>
      </w:r>
      <w:r>
        <w:rPr>
          <w:rFonts w:eastAsia="Calibri" w:cs="Arial"/>
        </w:rPr>
        <w:t xml:space="preserve">  </w:t>
      </w:r>
      <w:bookmarkStart w:id="7" w:name="_Hlk165289220"/>
    </w:p>
    <w:p w14:paraId="23DE9FFA" w14:textId="4FFFD588" w:rsidR="00F63BE5" w:rsidRPr="00C607C1" w:rsidRDefault="18BC22B5" w:rsidP="008B0B5C">
      <w:pPr>
        <w:rPr>
          <w:rFonts w:ascii="Times New Roman" w:hAnsi="Times New Roman" w:cs="Times New Roman"/>
          <w:b/>
          <w:u w:val="single"/>
        </w:rPr>
      </w:pPr>
      <w:r w:rsidRPr="00C607C1">
        <w:rPr>
          <w:rFonts w:ascii="Times New Roman" w:hAnsi="Times New Roman" w:cs="Times New Roman"/>
          <w:b/>
          <w:u w:val="single"/>
        </w:rPr>
        <w:t>University Wide Interdisciplinary Research Centers (UWIRCs)</w:t>
      </w:r>
    </w:p>
    <w:bookmarkEnd w:id="7"/>
    <w:p w14:paraId="6CEDB4B0" w14:textId="0538967A" w:rsidR="002971B1" w:rsidRPr="008F7A03" w:rsidRDefault="00C43CBB" w:rsidP="008F7A03">
      <w:pPr>
        <w:pStyle w:val="DataField11pt-Single"/>
        <w:spacing w:after="160" w:line="259" w:lineRule="auto"/>
        <w:rPr>
          <w:rFonts w:ascii="Times New Roman" w:hAnsi="Times New Roman" w:cs="Times New Roman"/>
          <w:b/>
          <w:szCs w:val="22"/>
        </w:rPr>
      </w:pPr>
      <w:r w:rsidRPr="007F7DC5">
        <w:rPr>
          <w:rFonts w:ascii="Times New Roman" w:hAnsi="Times New Roman" w:cs="Times New Roman"/>
          <w:szCs w:val="22"/>
        </w:rPr>
        <w:t>The University-Wide Interdisciplinary Research Center (UWIRC) program was proposed in 1995 to promote interdisciplinary research, education, and service. It was implemented with initial funding in 1997 for ten “full” centers and seven “pilot” centers. Since its inception, this program has played a major role in promoting interdisciplinary, cross-institutional research collaboration at UAB. The UWIRC program serves to catalyze cross-cutting research and discovery while adding to the generation of new scientific knowledge and its applications to benefit society. University-wide thematic centers provide a framework for research and training (including cancer, aging, neuroscience, infectious diseases, substance use disorders, maternal health, nutrition, diabetes, and many more). These multidisciplinary centers are open to all investigators with interests consistent with the mission of the given center. The centers assist in coordinating thematically oriented efforts for extramural grants and contracts, in developing center-associated core facilities and in integrating enrichment programs that are important trainee resources. Approximately every five years, each UWIRC was selected through a competitive selection process.</w:t>
      </w:r>
      <w:r w:rsidRPr="007F7DC5">
        <w:rPr>
          <w:rFonts w:ascii="Times New Roman" w:hAnsi="Times New Roman" w:cs="Times New Roman"/>
          <w:szCs w:val="22"/>
          <w:shd w:val="clear" w:color="auto" w:fill="FFFFFF"/>
        </w:rPr>
        <w:t xml:space="preserve"> </w:t>
      </w:r>
      <w:r w:rsidRPr="007F7DC5">
        <w:rPr>
          <w:rFonts w:ascii="Times New Roman" w:hAnsi="Times New Roman" w:cs="Times New Roman"/>
          <w:szCs w:val="22"/>
        </w:rPr>
        <w:t xml:space="preserve">To be designated a UWIRC, centers require sponsorship from at least three UAB schools, substantive interdisciplinary faculty involvement; contribution to the intellectual environment in order to enhance faculty and student recruitment, development, and retention; an extramural financial base to support center and core activities; internal and external review processes to ensure quality and productivity; and leadership in the integration of research and service including community outreach or partnerships. Through a competitive review process, the Deans of sponsoring Schools and the Provost provide modest funds for research cores, pilot and feasibility studies and selective enrichment activities. </w:t>
      </w:r>
    </w:p>
    <w:p w14:paraId="271B520E" w14:textId="11CFD366" w:rsidR="001F3E9D" w:rsidRPr="00C607C1" w:rsidRDefault="001F3E9D" w:rsidP="008B0B5C">
      <w:pPr>
        <w:rPr>
          <w:rFonts w:ascii="Times New Roman" w:hAnsi="Times New Roman" w:cs="Times New Roman"/>
          <w:b/>
          <w:u w:val="single"/>
        </w:rPr>
      </w:pPr>
      <w:r w:rsidRPr="00C607C1">
        <w:rPr>
          <w:rFonts w:ascii="Times New Roman" w:hAnsi="Times New Roman" w:cs="Times New Roman"/>
          <w:b/>
          <w:u w:val="single"/>
        </w:rPr>
        <w:t>Center for Clinical and Translational Science (CCTS)</w:t>
      </w:r>
    </w:p>
    <w:p w14:paraId="34796DED" w14:textId="34FED377" w:rsidR="001F3E9D" w:rsidRPr="00C607C1" w:rsidRDefault="001F3E9D" w:rsidP="008B0B5C">
      <w:pPr>
        <w:rPr>
          <w:rFonts w:ascii="Times New Roman" w:hAnsi="Times New Roman" w:cs="Times New Roman"/>
        </w:rPr>
      </w:pPr>
      <w:r w:rsidRPr="00C607C1">
        <w:rPr>
          <w:rFonts w:ascii="Times New Roman" w:hAnsi="Times New Roman" w:cs="Times New Roman"/>
        </w:rPr>
        <w:t xml:space="preserve">The CCTS was officially approved by the University of Alabama Board of Trustees on February 3, 2006 and funded by the NIH on May 19, 2008. The mission of the center is enhance the translation of fundamental and clinical research into improvements for human health and health care delivery. </w:t>
      </w:r>
      <w:r w:rsidRPr="00C607C1">
        <w:rPr>
          <w:rFonts w:ascii="Times New Roman" w:eastAsia="Calibri" w:hAnsi="Times New Roman" w:cs="Times New Roman"/>
        </w:rPr>
        <w:t xml:space="preserve">The CCTS and its Partner Network are committed to increasing research capacity, accelerating research processes, developing, and supporting excellence in the research workforce while providing creative and innovative approaches to major health and health care delivery challenges. The CCTS aims to </w:t>
      </w:r>
      <w:r w:rsidRPr="00C607C1">
        <w:rPr>
          <w:rFonts w:ascii="Times New Roman" w:eastAsia="Calibri" w:hAnsi="Times New Roman" w:cs="Times New Roman"/>
        </w:rPr>
        <w:lastRenderedPageBreak/>
        <w:t xml:space="preserve">fortify the advancement of translational science through community engagement and vibrant connections within the CCTS Partner Network. </w:t>
      </w:r>
      <w:r w:rsidRPr="00C607C1">
        <w:rPr>
          <w:rFonts w:ascii="Times New Roman" w:hAnsi="Times New Roman" w:cs="Times New Roman"/>
        </w:rPr>
        <w:t xml:space="preserve">This innovative partnership is well integrated into the fabric of the CCTS and provides the foundation for addressing </w:t>
      </w:r>
      <w:r w:rsidR="003E1984">
        <w:rPr>
          <w:rFonts w:ascii="Times New Roman" w:hAnsi="Times New Roman" w:cs="Times New Roman"/>
        </w:rPr>
        <w:t>healthy communities</w:t>
      </w:r>
      <w:r w:rsidRPr="00C607C1">
        <w:rPr>
          <w:rFonts w:ascii="Times New Roman" w:hAnsi="Times New Roman" w:cs="Times New Roman"/>
        </w:rPr>
        <w:t xml:space="preserve"> through collaborative research and training efforts. </w:t>
      </w:r>
      <w:r w:rsidRPr="00C607C1">
        <w:rPr>
          <w:rFonts w:ascii="Times New Roman" w:eastAsia="Calibri" w:hAnsi="Times New Roman" w:cs="Times New Roman"/>
        </w:rPr>
        <w:t>The CCTS offers access to a number of resources and capacities through its co-leadership of the Clinical Trials Initiative as well as the Training Academy and the Research Commons.</w:t>
      </w:r>
    </w:p>
    <w:p w14:paraId="317AFA3C" w14:textId="77777777" w:rsidR="001F3E9D" w:rsidRPr="00C607C1" w:rsidRDefault="001F3E9D" w:rsidP="008B0B5C">
      <w:pPr>
        <w:rPr>
          <w:rFonts w:ascii="Times New Roman" w:hAnsi="Times New Roman" w:cs="Times New Roman"/>
          <w:b/>
        </w:rPr>
      </w:pPr>
      <w:r w:rsidRPr="00C607C1">
        <w:rPr>
          <w:rFonts w:ascii="Times New Roman" w:hAnsi="Times New Roman" w:cs="Times New Roman"/>
          <w:b/>
        </w:rPr>
        <w:t>Clinical Trials Initiative</w:t>
      </w:r>
    </w:p>
    <w:p w14:paraId="55DEA12B" w14:textId="2073A7C8" w:rsidR="001F3E9D" w:rsidRPr="00C607C1" w:rsidRDefault="001F3E9D" w:rsidP="008B0B5C">
      <w:pPr>
        <w:rPr>
          <w:rFonts w:ascii="Times New Roman" w:hAnsi="Times New Roman" w:cs="Times New Roman"/>
        </w:rPr>
      </w:pPr>
      <w:r w:rsidRPr="00C607C1">
        <w:rPr>
          <w:rFonts w:ascii="Times New Roman" w:hAnsi="Times New Roman" w:cs="Times New Roman"/>
        </w:rPr>
        <w:t xml:space="preserve">The mission of the UAB Clinical Trials Initiative is to promote, foster, and enhance high-quality clinical research at UAB. By promoting clinical research, the effort will help the UAB community meet its mission goals of excellence in patient care, education, research, and community service. The Institution is committed to providing world-class patient care with innovative therapies to treat disease, promote health and wellness, and provide </w:t>
      </w:r>
      <w:r w:rsidR="00095ECC" w:rsidRPr="00C607C1">
        <w:rPr>
          <w:rFonts w:ascii="Times New Roman" w:hAnsi="Times New Roman" w:cs="Times New Roman"/>
        </w:rPr>
        <w:t>opportunities</w:t>
      </w:r>
      <w:r w:rsidRPr="00C607C1">
        <w:rPr>
          <w:rFonts w:ascii="Times New Roman" w:hAnsi="Times New Roman" w:cs="Times New Roman"/>
        </w:rPr>
        <w:t xml:space="preserve"> for patient participation in clinical research. As an academic medical center, it is our responsibility to participate in research that leads to new discoveries and advances the art and science of medicine for future generations. This collaboration provides services to:</w:t>
      </w:r>
    </w:p>
    <w:p w14:paraId="58D9D280" w14:textId="77777777" w:rsidR="001F3E9D" w:rsidRPr="00C607C1" w:rsidRDefault="001F3E9D" w:rsidP="008B0B5C">
      <w:pPr>
        <w:pStyle w:val="ListParagraph"/>
        <w:numPr>
          <w:ilvl w:val="0"/>
          <w:numId w:val="11"/>
        </w:numPr>
        <w:contextualSpacing w:val="0"/>
        <w:rPr>
          <w:rFonts w:ascii="Times New Roman" w:hAnsi="Times New Roman" w:cs="Times New Roman"/>
        </w:rPr>
      </w:pPr>
      <w:r w:rsidRPr="00C607C1">
        <w:rPr>
          <w:rFonts w:ascii="Times New Roman" w:hAnsi="Times New Roman" w:cs="Times New Roman"/>
        </w:rPr>
        <w:t>UAB researchers and research teams, assisting with feasibility assessment, methodologic rigor, study start-up, implementation, and reporting.</w:t>
      </w:r>
    </w:p>
    <w:p w14:paraId="376D5736" w14:textId="77777777" w:rsidR="001F3E9D" w:rsidRPr="00C607C1" w:rsidRDefault="001F3E9D" w:rsidP="008B0B5C">
      <w:pPr>
        <w:pStyle w:val="ListParagraph"/>
        <w:numPr>
          <w:ilvl w:val="0"/>
          <w:numId w:val="11"/>
        </w:numPr>
        <w:contextualSpacing w:val="0"/>
        <w:rPr>
          <w:rFonts w:ascii="Times New Roman" w:hAnsi="Times New Roman" w:cs="Times New Roman"/>
        </w:rPr>
      </w:pPr>
      <w:r w:rsidRPr="00C607C1">
        <w:rPr>
          <w:rFonts w:ascii="Times New Roman" w:hAnsi="Times New Roman" w:cs="Times New Roman"/>
        </w:rPr>
        <w:t>Patients and the general public, providing opportunities for study participation.</w:t>
      </w:r>
    </w:p>
    <w:p w14:paraId="78B77CDE" w14:textId="77777777" w:rsidR="001F3E9D" w:rsidRPr="00C607C1" w:rsidRDefault="001F3E9D" w:rsidP="008B0B5C">
      <w:pPr>
        <w:pStyle w:val="ListParagraph"/>
        <w:numPr>
          <w:ilvl w:val="0"/>
          <w:numId w:val="11"/>
        </w:numPr>
        <w:contextualSpacing w:val="0"/>
        <w:rPr>
          <w:rFonts w:ascii="Times New Roman" w:hAnsi="Times New Roman" w:cs="Times New Roman"/>
        </w:rPr>
      </w:pPr>
      <w:r w:rsidRPr="00C607C1">
        <w:rPr>
          <w:rFonts w:ascii="Times New Roman" w:hAnsi="Times New Roman" w:cs="Times New Roman"/>
        </w:rPr>
        <w:t>Sponsors, helping them identify UAB investigators for participation in their research.</w:t>
      </w:r>
    </w:p>
    <w:p w14:paraId="1BB92CA2" w14:textId="09A68CBF" w:rsidR="001F3E9D" w:rsidRPr="00C607C1" w:rsidRDefault="001F3E9D" w:rsidP="008B0B5C">
      <w:pPr>
        <w:rPr>
          <w:rFonts w:ascii="Times New Roman" w:hAnsi="Times New Roman" w:cs="Times New Roman"/>
        </w:rPr>
      </w:pPr>
      <w:r w:rsidRPr="00C607C1">
        <w:rPr>
          <w:rFonts w:ascii="Times New Roman" w:hAnsi="Times New Roman" w:cs="Times New Roman"/>
        </w:rPr>
        <w:t>As part of this effort, the CCTS mission addresses four programmatic tasks: 1) performance standards to meet and exceed national standards; 2) educated and knowledgeable workforce; 3) implementation of scientifically reproducible research; and 4) services to support rigorous design and interpretation. Toward these goals, the CCTS Hub has developed a multi-modal implementation strategy overseen by the Clinical Trials Administrative Office, Clinical Trials Administrative Committee (CTAC), guidance in Quality and Efficiency, and training via Regulatory Knowledge and Support.</w:t>
      </w:r>
    </w:p>
    <w:p w14:paraId="29F1F774" w14:textId="77777777" w:rsidR="001F3E9D" w:rsidRPr="00C607C1" w:rsidRDefault="001F3E9D" w:rsidP="008B0B5C">
      <w:pPr>
        <w:rPr>
          <w:rFonts w:ascii="Times New Roman" w:hAnsi="Times New Roman" w:cs="Times New Roman"/>
          <w:b/>
        </w:rPr>
      </w:pPr>
      <w:r w:rsidRPr="00C607C1">
        <w:rPr>
          <w:rFonts w:ascii="Times New Roman" w:hAnsi="Times New Roman" w:cs="Times New Roman"/>
          <w:b/>
        </w:rPr>
        <w:t>CCTS Training Academy  </w:t>
      </w:r>
    </w:p>
    <w:p w14:paraId="4A772D30" w14:textId="557237B4" w:rsidR="001F3E9D" w:rsidRPr="00C607C1" w:rsidRDefault="001F3E9D" w:rsidP="008B0B5C">
      <w:pPr>
        <w:rPr>
          <w:rFonts w:ascii="Times New Roman" w:hAnsi="Times New Roman" w:cs="Times New Roman"/>
        </w:rPr>
      </w:pPr>
      <w:r w:rsidRPr="00C607C1">
        <w:rPr>
          <w:rFonts w:ascii="Times New Roman" w:hAnsi="Times New Roman" w:cs="Times New Roman"/>
        </w:rPr>
        <w:t xml:space="preserve">The mission of the CCTS Training Academy is to promote the continuous development of knowledge and skills for learners at all academic and career stages through a portfolio of robust and innovative training programs implemented through didactic, experiential, and self-directed approaches. The CCTS is an innovative and evolving network of research professionals and visionary faculty that performs exemplary work in the clinical and translational science research communities while carrying high standards set by the National Center for Advancing Clinical and Translational Science (NCATS). The CCTS Training Academy domain offers interdisciplinary, educational programs and enrichment activities for research teams across the academic career arc from graduate and postgraduate students to early career and senior faculty. The Training Academy is continuously enhancing CCTS Training Programs and finding creative methods to deliver stellar programs conducive for success in the translational science workforce. </w:t>
      </w:r>
    </w:p>
    <w:p w14:paraId="590D5E48" w14:textId="77777777" w:rsidR="001F3E9D" w:rsidRPr="00C607C1" w:rsidRDefault="001F3E9D" w:rsidP="008B0B5C">
      <w:pPr>
        <w:rPr>
          <w:rFonts w:ascii="Times New Roman" w:hAnsi="Times New Roman" w:cs="Times New Roman"/>
          <w:b/>
        </w:rPr>
      </w:pPr>
      <w:r w:rsidRPr="00C607C1">
        <w:rPr>
          <w:rFonts w:ascii="Times New Roman" w:hAnsi="Times New Roman" w:cs="Times New Roman"/>
          <w:b/>
        </w:rPr>
        <w:t>CCTS Research Commons</w:t>
      </w:r>
    </w:p>
    <w:p w14:paraId="62589C5D" w14:textId="19CFD6B3" w:rsidR="001F3E9D" w:rsidRPr="00C607C1" w:rsidRDefault="001F3E9D" w:rsidP="008B0B5C">
      <w:pPr>
        <w:rPr>
          <w:rFonts w:ascii="Times New Roman" w:hAnsi="Times New Roman" w:cs="Times New Roman"/>
        </w:rPr>
      </w:pPr>
      <w:r w:rsidRPr="00C607C1">
        <w:rPr>
          <w:rFonts w:ascii="Times New Roman" w:hAnsi="Times New Roman" w:cs="Times New Roman"/>
        </w:rPr>
        <w:t>Through the Research Commons, investigators can access research-related services and resources available at UAB and our Partner Network institutions. The Commons provides individualized assistance to all investigators, from trainees to full professors. CCTS personnel facilitate scientific connections by directing investigators to appropriate capacities, facilitation of scientific interactions, and promotion of CCTS opportunities.</w:t>
      </w:r>
    </w:p>
    <w:p w14:paraId="7C7398D6" w14:textId="77777777" w:rsidR="001F3E9D" w:rsidRPr="00C607C1" w:rsidRDefault="001F3E9D" w:rsidP="008B0B5C">
      <w:pPr>
        <w:rPr>
          <w:rFonts w:ascii="Times New Roman" w:hAnsi="Times New Roman" w:cs="Times New Roman"/>
          <w:b/>
        </w:rPr>
      </w:pPr>
      <w:r w:rsidRPr="00C607C1">
        <w:rPr>
          <w:rFonts w:ascii="Times New Roman" w:hAnsi="Times New Roman" w:cs="Times New Roman"/>
          <w:b/>
        </w:rPr>
        <w:t>Clinical Research Services</w:t>
      </w:r>
    </w:p>
    <w:p w14:paraId="1C720B3C" w14:textId="4738EDBF" w:rsidR="008F7A03" w:rsidRDefault="001F3E9D" w:rsidP="008B0B5C">
      <w:pPr>
        <w:rPr>
          <w:rFonts w:ascii="Times New Roman" w:hAnsi="Times New Roman" w:cs="Times New Roman"/>
        </w:rPr>
      </w:pPr>
      <w:r w:rsidRPr="00C607C1">
        <w:rPr>
          <w:rFonts w:ascii="Times New Roman" w:hAnsi="Times New Roman" w:cs="Times New Roman"/>
        </w:rPr>
        <w:t xml:space="preserve">The CCTS supports cutting-edge expertise and facilities for investigators conducting human subjects research. A centralized hub provides a supportive environment for early phase and task-intensive clinical research in humans. The CCTS provides cost-effective and high-quality services that exemplifies best practice for every stage of the clinical research study lifecycle. The CCTS Clinical Translation staff also offers </w:t>
      </w:r>
      <w:r w:rsidR="00095ECC" w:rsidRPr="00C607C1">
        <w:rPr>
          <w:rFonts w:ascii="Times New Roman" w:hAnsi="Times New Roman" w:cs="Times New Roman"/>
        </w:rPr>
        <w:t>training</w:t>
      </w:r>
      <w:r w:rsidRPr="00C607C1">
        <w:rPr>
          <w:rFonts w:ascii="Times New Roman" w:hAnsi="Times New Roman" w:cs="Times New Roman"/>
        </w:rPr>
        <w:t xml:space="preserve"> to strengthen the research skills of every member of your team. The environment ensures safety and provides standardized pathways for the administration of investigational agents and the management of valuable patient samples essential for translational advances. CCTS clinical services include the Clinical Research Unit (CRU), the Phase I Clinical Trials Unit, the Child Health Research Unit </w:t>
      </w:r>
      <w:r w:rsidRPr="00C607C1">
        <w:rPr>
          <w:rFonts w:ascii="Times New Roman" w:hAnsi="Times New Roman" w:cs="Times New Roman"/>
        </w:rPr>
        <w:lastRenderedPageBreak/>
        <w:t xml:space="preserve">(CHRU), the Clinical Trials Administrative Office (CTAO), the Clinical Research Support Program (CRSP), the Specimen Processing and Analytical Nexus (SPAN), CCTS Biorepository, and the Bionutrition Unit. </w:t>
      </w:r>
    </w:p>
    <w:p w14:paraId="2B3C1D0A" w14:textId="5E25AB8D" w:rsidR="00856C86" w:rsidRPr="008F7A03" w:rsidRDefault="00856C86" w:rsidP="008B0B5C">
      <w:pPr>
        <w:rPr>
          <w:rFonts w:ascii="Times New Roman" w:hAnsi="Times New Roman" w:cs="Times New Roman"/>
        </w:rPr>
      </w:pPr>
      <w:r w:rsidRPr="00C607C1">
        <w:rPr>
          <w:rFonts w:ascii="Times New Roman" w:hAnsi="Times New Roman" w:cs="Times New Roman"/>
          <w:b/>
          <w:u w:val="single"/>
        </w:rPr>
        <w:t xml:space="preserve">UAB Libraries </w:t>
      </w:r>
    </w:p>
    <w:p w14:paraId="3C32D150" w14:textId="77777777" w:rsidR="00856C86" w:rsidRPr="00C607C1" w:rsidRDefault="00856C86" w:rsidP="008B0B5C">
      <w:pPr>
        <w:rPr>
          <w:rFonts w:ascii="Times New Roman" w:hAnsi="Times New Roman" w:cs="Times New Roman"/>
        </w:rPr>
      </w:pPr>
      <w:r w:rsidRPr="00C607C1">
        <w:rPr>
          <w:rFonts w:ascii="Times New Roman" w:hAnsi="Times New Roman" w:cs="Times New Roman"/>
        </w:rPr>
        <w:t xml:space="preserve">The UAB Libraries offer sufficient resources, staffing, and services to support the grant writing and submission process. Notable among these are:   </w:t>
      </w:r>
    </w:p>
    <w:p w14:paraId="5B45F9EA" w14:textId="77777777" w:rsidR="00856C86" w:rsidRPr="00C607C1" w:rsidRDefault="00856C86" w:rsidP="008B0B5C">
      <w:pPr>
        <w:rPr>
          <w:rFonts w:ascii="Times New Roman" w:hAnsi="Times New Roman" w:cs="Times New Roman"/>
        </w:rPr>
      </w:pPr>
      <w:r w:rsidRPr="00C607C1">
        <w:rPr>
          <w:rFonts w:ascii="Times New Roman" w:hAnsi="Times New Roman" w:cs="Times New Roman"/>
        </w:rPr>
        <w:t xml:space="preserve">(i) The Lister Hill Library of the Health Sciences: Established in 1945 to support the University of Alabama School of Medicine, the Lister Hill Library is the largest biomedical library in Alabama and served as a Resource Library for the Southeast/Atlantic Region in the Network of the National Library of Medicine (NNLM). It is the main health sciences library on the UAB campus, supporting graduate and professional programs in the health sciences. The UAB Libraries have an active library liaison program supporting all academic and health science units on campus. The program plays a pivotal role in fostering effective communication between the UAB Libraries and their user communities. Liaison librarians in the Lister Hill Library Department of Clinical, Academic, &amp; Research Engagement are assigned liaison responsibilities for the UAB Schools of Dentistry, Health Professions, Nursing, Medicine, Optometry, and Public Health. Liaison librarians can assist with systematic reviews and in-depth expert searches. Additionally, the Lister Hill Library has a Systematic Review Coordinator to coordinate all systematic review requests. </w:t>
      </w:r>
    </w:p>
    <w:p w14:paraId="5A8CA173" w14:textId="413DEFCD" w:rsidR="00856C86" w:rsidRPr="00C607C1" w:rsidRDefault="00856C86" w:rsidP="008B0B5C">
      <w:pPr>
        <w:rPr>
          <w:rFonts w:ascii="Times New Roman" w:hAnsi="Times New Roman" w:cs="Times New Roman"/>
        </w:rPr>
      </w:pPr>
      <w:r w:rsidRPr="00C607C1">
        <w:rPr>
          <w:rFonts w:ascii="Times New Roman" w:hAnsi="Times New Roman" w:cs="Times New Roman"/>
        </w:rPr>
        <w:t>(ii) The Mervyn H. Sterne Library: The Sterne Library was officially opened in 1973, four years after UAB was established, and its collections support teaching and research in the arts and humanities, business, education, engineering, natural sciences, mathematics, and the social sciences. Librarians in the Sterne Library Department of Research &amp; Learning are assigned liaison responsibilities for the UAB Schools of Business, Education, and Engineering, and the College of Arts &amp; Sciences.</w:t>
      </w:r>
    </w:p>
    <w:p w14:paraId="767A68F0" w14:textId="72E6C3A7" w:rsidR="00856C86" w:rsidRPr="00C607C1" w:rsidRDefault="00856C86" w:rsidP="008B0B5C">
      <w:pPr>
        <w:rPr>
          <w:rFonts w:ascii="Times New Roman" w:hAnsi="Times New Roman" w:cs="Times New Roman"/>
        </w:rPr>
      </w:pPr>
      <w:r w:rsidRPr="00C607C1">
        <w:rPr>
          <w:rFonts w:ascii="Times New Roman" w:hAnsi="Times New Roman" w:cs="Times New Roman"/>
        </w:rPr>
        <w:t>(iii) Office of Scholarly Communication: The UAB Libraries’ Office of Scholarly Communication (OSC) was established in 2021 to support the UAB community in navigating and understanding scholarly communication principles including copyright and fair use, author agreements, research data management, scholarly impact, and public access to scholarly works. Services provided by the OSC include on-demand consultations and workshops on scholarly communication topics and assistance selecting journals and identifying open access funding sources. The OSC also provides extensive Research Data Management support such as data interviews, Data Management Plan review, and data repository selection.</w:t>
      </w:r>
    </w:p>
    <w:p w14:paraId="0A983C51" w14:textId="3758C5D8" w:rsidR="009A5F99" w:rsidRPr="00C607C1" w:rsidRDefault="00856C86" w:rsidP="008B0B5C">
      <w:pPr>
        <w:rPr>
          <w:rFonts w:ascii="Times New Roman" w:hAnsi="Times New Roman" w:cs="Times New Roman"/>
        </w:rPr>
      </w:pPr>
      <w:r w:rsidRPr="00C607C1">
        <w:rPr>
          <w:rFonts w:ascii="Times New Roman" w:hAnsi="Times New Roman" w:cs="Times New Roman"/>
        </w:rPr>
        <w:t xml:space="preserve">(iv) Resources: The UAB Libraries provide access to 645 databases through its web site. These databases support all areas of UAB teaching, research, and scholarship, on both the academic and medical sides of campus. All databases are available 24/7 and are available from both on and off-campus. They include databases such as Embase, PubMed, SCOPUS, and Web of Science from hundreds of library vendors including Elsevier, Wiley, Proquest, Springer, Wolters Kluwer, and EBSCO. Specialized databases from smaller vendors such as VisualDX, Clarivate, Thieme, and JoVe are also available. The UAB Libraries’ collection includes more than 2 million titles, including more than 900,000 physical books and nearly 850,000 electronic books. The number of print journals totals more than 25,000, while the number of electronic journals totals more than 105,000. The UAB Libraries also hold nearly 125,000 microform titles. </w:t>
      </w:r>
    </w:p>
    <w:p w14:paraId="18F4089C" w14:textId="542C9EAA" w:rsidR="0087406D" w:rsidRPr="00C607C1" w:rsidRDefault="0A1BC236" w:rsidP="008B0B5C">
      <w:pPr>
        <w:rPr>
          <w:rFonts w:ascii="Times New Roman" w:hAnsi="Times New Roman" w:cs="Times New Roman"/>
          <w:b/>
          <w:u w:val="single"/>
        </w:rPr>
      </w:pPr>
      <w:bookmarkStart w:id="8" w:name="_Hlk163484235"/>
      <w:r w:rsidRPr="00C607C1">
        <w:rPr>
          <w:rFonts w:ascii="Times New Roman" w:hAnsi="Times New Roman" w:cs="Times New Roman"/>
          <w:b/>
          <w:u w:val="single"/>
        </w:rPr>
        <w:t xml:space="preserve">Computer and Information Technology (IT): </w:t>
      </w:r>
      <w:r w:rsidR="00924457" w:rsidRPr="00C607C1">
        <w:rPr>
          <w:rFonts w:ascii="Times New Roman" w:hAnsi="Times New Roman" w:cs="Times New Roman"/>
          <w:b/>
          <w:u w:val="single"/>
        </w:rPr>
        <w:t>School of Public Health</w:t>
      </w:r>
      <w:r w:rsidRPr="00C607C1">
        <w:rPr>
          <w:rFonts w:ascii="Times New Roman" w:hAnsi="Times New Roman" w:cs="Times New Roman"/>
          <w:b/>
          <w:u w:val="single"/>
        </w:rPr>
        <w:t xml:space="preserve"> and University Wide</w:t>
      </w:r>
    </w:p>
    <w:p w14:paraId="26F89246" w14:textId="337BBEB1" w:rsidR="000153D5" w:rsidRPr="00C607C1" w:rsidRDefault="000153D5" w:rsidP="008B0B5C">
      <w:pPr>
        <w:rPr>
          <w:rFonts w:ascii="Times New Roman" w:hAnsi="Times New Roman" w:cs="Times New Roman"/>
        </w:rPr>
      </w:pPr>
      <w:r w:rsidRPr="00826C85">
        <w:rPr>
          <w:rFonts w:ascii="Times New Roman" w:hAnsi="Times New Roman" w:cs="Times New Roman"/>
          <w:b/>
        </w:rPr>
        <w:t>UAB Information Technology Operations</w:t>
      </w:r>
      <w:r w:rsidRPr="00826C85">
        <w:rPr>
          <w:rFonts w:ascii="Times New Roman" w:hAnsi="Times New Roman" w:cs="Times New Roman"/>
          <w:b/>
          <w:bCs/>
        </w:rPr>
        <w:t>:</w:t>
      </w:r>
      <w:r w:rsidRPr="00C607C1">
        <w:rPr>
          <w:rFonts w:ascii="Times New Roman" w:hAnsi="Times New Roman" w:cs="Times New Roman"/>
        </w:rPr>
        <w:t xml:space="preserve"> The responsibility for campus network, IT resources, and IT security resides with the UAB Office of the Vice President for Information Technology. UAB Health System IT operations are provided by the Health System Information Services (HSIS) unit. Within UAB-IT, the Research Computing unit provides shared, subsidized access to computing resources supporting all research, including SOPH-conducted and supported projects. Most resources provided by Research Computing are provided at no cost for routine processing needs. A cost schedule can be arranged for large capacity needs (more than several hundred TB of storage or reserved allocations of high capacity HPC nodes to individual projects)</w:t>
      </w:r>
      <w:r w:rsidR="00826C85">
        <w:rPr>
          <w:rFonts w:ascii="Times New Roman" w:hAnsi="Times New Roman" w:cs="Times New Roman"/>
        </w:rPr>
        <w:t>.</w:t>
      </w:r>
    </w:p>
    <w:p w14:paraId="7648E04F" w14:textId="1635F747" w:rsidR="005013E0" w:rsidRPr="00C607C1" w:rsidRDefault="000153D5" w:rsidP="008B0B5C">
      <w:pPr>
        <w:rPr>
          <w:rStyle w:val="Strong"/>
          <w:rFonts w:ascii="Times New Roman" w:hAnsi="Times New Roman" w:cs="Times New Roman"/>
        </w:rPr>
      </w:pPr>
      <w:r w:rsidRPr="00C607C1">
        <w:rPr>
          <w:rStyle w:val="Strong"/>
          <w:rFonts w:ascii="Times New Roman" w:hAnsi="Times New Roman" w:cs="Times New Roman"/>
        </w:rPr>
        <w:t>University-Wide Computing Hardware Resources:</w:t>
      </w:r>
      <w:r w:rsidRPr="00C607C1">
        <w:rPr>
          <w:rFonts w:ascii="Times New Roman" w:hAnsi="Times New Roman" w:cs="Times New Roman"/>
        </w:rPr>
        <w:t xml:space="preserve"> UAB's software depot offers campus affiliates a wide range of softwares and computing packages/libraries that can be used towards the conducted research. A comprehensive list of softwares can be accessed using campus affiliation login credentials, blazer-id.  For more computationally intensive tasks, there are numerous options as detailed in the below sections.</w:t>
      </w:r>
    </w:p>
    <w:p w14:paraId="6E50A404" w14:textId="016B8A33" w:rsidR="00846A7E" w:rsidRPr="00C607C1" w:rsidRDefault="000153D5" w:rsidP="008B0B5C">
      <w:pPr>
        <w:rPr>
          <w:rFonts w:ascii="Times New Roman" w:hAnsi="Times New Roman" w:cs="Times New Roman"/>
        </w:rPr>
      </w:pPr>
      <w:r w:rsidRPr="00C607C1">
        <w:rPr>
          <w:rStyle w:val="Strong"/>
          <w:rFonts w:ascii="Times New Roman" w:hAnsi="Times New Roman" w:cs="Times New Roman"/>
        </w:rPr>
        <w:lastRenderedPageBreak/>
        <w:t xml:space="preserve">University-wide </w:t>
      </w:r>
      <w:r w:rsidR="0087406D" w:rsidRPr="00C607C1">
        <w:rPr>
          <w:rStyle w:val="Strong"/>
          <w:rFonts w:ascii="Times New Roman" w:hAnsi="Times New Roman" w:cs="Times New Roman"/>
        </w:rPr>
        <w:t>Secure Storage:</w:t>
      </w:r>
      <w:r w:rsidR="005013E0" w:rsidRPr="00C607C1">
        <w:rPr>
          <w:rStyle w:val="Strong"/>
          <w:rFonts w:ascii="Times New Roman" w:hAnsi="Times New Roman" w:cs="Times New Roman"/>
        </w:rPr>
        <w:t xml:space="preserve"> </w:t>
      </w:r>
      <w:r w:rsidR="0087406D" w:rsidRPr="00C607C1">
        <w:rPr>
          <w:rFonts w:ascii="Times New Roman" w:hAnsi="Times New Roman" w:cs="Times New Roman"/>
        </w:rPr>
        <w:t>Study data and databases are saved in secure storage, either hosted in virtual private cloud provisioned by </w:t>
      </w:r>
      <w:r w:rsidR="0087406D" w:rsidRPr="00C607C1">
        <w:rPr>
          <w:rStyle w:val="Strong"/>
          <w:rFonts w:ascii="Times New Roman" w:hAnsi="Times New Roman" w:cs="Times New Roman"/>
        </w:rPr>
        <w:t xml:space="preserve">IT Infrastructure &amp; Operations </w:t>
      </w:r>
      <w:r w:rsidR="0087406D" w:rsidRPr="00C607C1">
        <w:rPr>
          <w:rFonts w:ascii="Times New Roman" w:hAnsi="Times New Roman" w:cs="Times New Roman"/>
        </w:rPr>
        <w:t>on public cloud service</w:t>
      </w:r>
      <w:r w:rsidR="0087406D" w:rsidRPr="00C607C1">
        <w:rPr>
          <w:rStyle w:val="Strong"/>
          <w:rFonts w:ascii="Times New Roman" w:hAnsi="Times New Roman" w:cs="Times New Roman"/>
        </w:rPr>
        <w:t xml:space="preserve"> </w:t>
      </w:r>
      <w:r w:rsidR="0087406D" w:rsidRPr="00C607C1">
        <w:rPr>
          <w:rFonts w:ascii="Times New Roman" w:hAnsi="Times New Roman" w:cs="Times New Roman"/>
        </w:rPr>
        <w:t>or at the </w:t>
      </w:r>
      <w:r w:rsidR="0087406D" w:rsidRPr="00C607C1">
        <w:rPr>
          <w:rStyle w:val="Strong"/>
          <w:rFonts w:ascii="Times New Roman" w:hAnsi="Times New Roman" w:cs="Times New Roman"/>
        </w:rPr>
        <w:t>IT Data Center</w:t>
      </w:r>
      <w:r w:rsidR="0087406D" w:rsidRPr="00C607C1">
        <w:rPr>
          <w:rFonts w:ascii="Times New Roman" w:hAnsi="Times New Roman" w:cs="Times New Roman"/>
        </w:rPr>
        <w:t>. PHI data is stored in the IT Data Center after review and approval by HSIS.  Both infrastructures provide researchers with secure compute, storage, and network environments to conduct research and share findings on public facing websites. Box.com storage is also available for secure, encrypted collaborative file sharing in the cloud and can be used for public data classification.</w:t>
      </w:r>
      <w:r w:rsidR="00A83818" w:rsidRPr="00C607C1">
        <w:rPr>
          <w:rFonts w:ascii="Times New Roman" w:hAnsi="Times New Roman" w:cs="Times New Roman"/>
        </w:rPr>
        <w:t xml:space="preserve"> </w:t>
      </w:r>
      <w:r w:rsidR="0087406D" w:rsidRPr="00C607C1">
        <w:rPr>
          <w:rFonts w:ascii="Times New Roman" w:hAnsi="Times New Roman" w:cs="Times New Roman"/>
        </w:rPr>
        <w:t>All system access is granted via a centralized authentication system within the University, which is strictly monitored and updated. Additionally, all systems within the data center must pass an architectural security review prior to entering service.</w:t>
      </w:r>
    </w:p>
    <w:bookmarkEnd w:id="8"/>
    <w:p w14:paraId="7B3A7B48" w14:textId="77777777" w:rsidR="00394161" w:rsidRPr="002971B1" w:rsidRDefault="000153D5" w:rsidP="008B0B5C">
      <w:pPr>
        <w:rPr>
          <w:u w:val="single"/>
        </w:rPr>
      </w:pPr>
      <w:r w:rsidRPr="002971B1">
        <w:rPr>
          <w:rFonts w:ascii="Times New Roman" w:hAnsi="Times New Roman" w:cs="Times New Roman"/>
          <w:b/>
          <w:u w:val="single"/>
        </w:rPr>
        <w:t>UAB IT Research Computing (UABRC)</w:t>
      </w:r>
      <w:r w:rsidR="00826C85" w:rsidRPr="002971B1">
        <w:rPr>
          <w:rFonts w:ascii="Times New Roman" w:eastAsia="Times New Roman" w:hAnsi="Times New Roman" w:cs="Times New Roman"/>
          <w:b/>
          <w:u w:val="single"/>
        </w:rPr>
        <w:t xml:space="preserve"> </w:t>
      </w:r>
    </w:p>
    <w:p w14:paraId="455A8A7B" w14:textId="77777777" w:rsidR="00394161" w:rsidRPr="007F7DC5" w:rsidRDefault="00394161" w:rsidP="008B0B5C">
      <w:pPr>
        <w:rPr>
          <w:rFonts w:ascii="Times New Roman" w:hAnsi="Times New Roman" w:cs="Times New Roman"/>
        </w:rPr>
      </w:pPr>
      <w:r w:rsidRPr="007F7DC5">
        <w:rPr>
          <w:rFonts w:ascii="Times New Roman" w:hAnsi="Times New Roman" w:cs="Times New Roman"/>
        </w:rPr>
        <w:t>The UABRC maintains the Research Computing System (RCS), an integrated computing platform that provides access to enhanced compute, storage, and network capacity for UAB investigators and their collaborators. The RCS compute resources include a high-performance compute (HPC) cluster for large scale modeling and analysis workloads, an on-site cloud platform for highly customizable virtual machine (VM) based workloads, and a container orchestration platform for cloud-native workloads. The RCS storage resources include a high-speed general parallel file system (GPFS) attached to the HPC cluster to support data analysis workloads as well as large-capacity block and object storage to support the cloud and container workloads. The RCS networking infrastructure connects the computing and storage systems via a 800 Gb/s Ethernet interconnect that provides ample capacity for data access and movement between the compute and storage resources. RCS networking also includes connectivity to the UAB Campus Network, a dedicated enhanced data rate /high data rate (EDR/HDR) Infiniband fabric for low-latency data exchange on the HPC cluster, and a 40 Gb/s Science (demilitarized zone) DMZ for high-speed data transfers with national research and education networks.</w:t>
      </w:r>
    </w:p>
    <w:p w14:paraId="2202EFCA" w14:textId="4E87C9E9" w:rsidR="000153D5" w:rsidRPr="00C607C1" w:rsidRDefault="00394161" w:rsidP="008B0B5C">
      <w:pPr>
        <w:rPr>
          <w:rFonts w:ascii="Times New Roman" w:hAnsi="Times New Roman" w:cs="Times New Roman"/>
        </w:rPr>
      </w:pPr>
      <w:r w:rsidRPr="00394161">
        <w:rPr>
          <w:rFonts w:ascii="Times New Roman" w:hAnsi="Times New Roman" w:cs="Times New Roman"/>
        </w:rPr>
        <w:t>These RCS resources combine to provide a low-friction application hosting platform that enables research teams to build and deploy preferred tools without enforced refactoring to adopt applications to campus resources. The RCS resources are deployed spanning two data centers. The on-campus data center is in the recently constructed Technology Innovation Center (TIC). The off-campus data center is located at a nearby (less than 10 km) commercial facility operated by DC BLOX, a regional data center provider offering a Tier III colocation facility in Birmingham with adequate power to support the high-density power requirements for the RCS and a resilient physical infrastructure designed to withstand natural disasters. The commercial facility is connected to the campus data center via a dedicated, diverse fiber path lit with dual 100 Gb/s optics that leverages the University of Alabama System Regional Optical Network (UASRON). UABRC designs and maintains the RCS resources in open collaboration with the campus research community to ensure that the system addresses research needs and has the capacity to meet research demand.</w:t>
      </w:r>
    </w:p>
    <w:p w14:paraId="0F904C97" w14:textId="754478B7" w:rsidR="000153D5" w:rsidRPr="00C607C1" w:rsidRDefault="005013E0" w:rsidP="008B0B5C">
      <w:pPr>
        <w:rPr>
          <w:rFonts w:ascii="Times New Roman" w:eastAsia="Times New Roman" w:hAnsi="Times New Roman" w:cs="Times New Roman"/>
          <w:b/>
        </w:rPr>
      </w:pPr>
      <w:r w:rsidRPr="00C607C1">
        <w:rPr>
          <w:rFonts w:ascii="Times New Roman" w:hAnsi="Times New Roman" w:cs="Times New Roman"/>
          <w:b/>
        </w:rPr>
        <w:t>High-Performance Computing (Cheaha) Resources</w:t>
      </w:r>
    </w:p>
    <w:p w14:paraId="1359C709" w14:textId="77777777" w:rsidR="005E4307" w:rsidRPr="005E4307" w:rsidRDefault="005E4307" w:rsidP="008B0B5C">
      <w:pPr>
        <w:rPr>
          <w:rFonts w:ascii="Times New Roman" w:eastAsia="Times New Roman" w:hAnsi="Times New Roman" w:cs="Times New Roman"/>
          <w:b/>
          <w:bCs/>
        </w:rPr>
      </w:pPr>
      <w:r w:rsidRPr="005E4307">
        <w:rPr>
          <w:rFonts w:ascii="Times New Roman" w:eastAsia="Times New Roman" w:hAnsi="Times New Roman" w:cs="Times New Roman"/>
        </w:rPr>
        <w:t>Cheaha is a campus high-performance computing (HPC) resource dedicated to enhancing research computing productivity at UAB. Cheaha is managed by UAB IT Research Computing (UABRC) and is available to members of the UAB community in need of increased computational capacity. Cheaha supports both high-performance computing (HPC) and high-throughput computing (HTC) paradigms. Cheaha provides 10752 CPU cores, 112 GPUs, and 88 TB of memory across 159 compute nodes interconnected via an EDR/HDR InfiniBand network, providing over 1.1 PFLOP/s of aggregate theoretical peak performance. A high-performance parallel filesystem running is connected to these HPC compute nodes via the InfiniBand fabric. Node details follow.</w:t>
      </w:r>
    </w:p>
    <w:p w14:paraId="76356095"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Gen 7 (2017): 18 nodes, 2x14 core (504 cores total) 2.4 GHz Intel Xeon E5-2680 v4 compute nodes with 256 GB RAM, four NVIDIA Tesla P100 16 GB GPUs per node, and an EDR InfiniBand interconnect.</w:t>
      </w:r>
    </w:p>
    <w:p w14:paraId="78C73CCC"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Gen 8 (2019): 35 nodes, 2x12 core (840 cores total) 2.60 GHz Intel Xeon Gold 6126 compute nodes with 21 compute nodes at 192 GB RAM, 10 nodes at 768 GB RAM and 4 nodes at 1.5 TB RAM, and an EDR InfiniBand interconnect.</w:t>
      </w:r>
    </w:p>
    <w:p w14:paraId="0E7443F1"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Gen 9 (Q2 2021): 52 nodes, 2x24 core (2496 cores total) 3.0 GHz Intel Xeon Gold 6248R compute nodes each with 578 GB RAM and EDR InfiniBand interconnect.</w:t>
      </w:r>
    </w:p>
    <w:p w14:paraId="1D5F2256"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Gen 10 (Q4 2021): 34 nodes, 2x64 core (4352 cores total) 2.0 GHz AMD Epyc 7713 Milan compute nodes each with 512 GB RAM and EDR InfiniBand interconnect.</w:t>
      </w:r>
    </w:p>
    <w:p w14:paraId="65B4F00B"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lastRenderedPageBreak/>
        <w:t>Gen 11 (Q4 2023): 20 nodes, 2x64 core (2560 cores total) 2.0 GHz AMD Epyc 7713 Milan compute nodes each with 512 GB RAM and 2 A100 80 GB GPUs.</w:t>
      </w:r>
    </w:p>
    <w:p w14:paraId="5705C225" w14:textId="77777777" w:rsidR="002971B1" w:rsidRDefault="005E4307" w:rsidP="008B0B5C">
      <w:pPr>
        <w:rPr>
          <w:rFonts w:ascii="Times New Roman" w:eastAsia="Times New Roman" w:hAnsi="Times New Roman" w:cs="Times New Roman"/>
        </w:rPr>
      </w:pPr>
      <w:r w:rsidRPr="005E4307">
        <w:rPr>
          <w:rFonts w:ascii="Times New Roman" w:eastAsia="Times New Roman" w:hAnsi="Times New Roman" w:cs="Times New Roman"/>
        </w:rPr>
        <w:t>Cheaha provides researchers with both a web-based interface, via open OnDemand, and a traditional command-line interactive environment, via secure shell (SSH). These interfaces provide access to many scientific tools that can leverage a dedicated pool of on-premises compute resources via the Slurm batch scheduler. The on-premises compute pool provides access to four recent generations of hardware based on the x86 64-bit architecture.</w:t>
      </w:r>
    </w:p>
    <w:p w14:paraId="022C36C7" w14:textId="028C2F78" w:rsidR="000153D5" w:rsidRPr="00C607C1" w:rsidRDefault="005013E0" w:rsidP="008B0B5C">
      <w:pPr>
        <w:rPr>
          <w:rFonts w:ascii="Times New Roman" w:eastAsia="Times New Roman" w:hAnsi="Times New Roman" w:cs="Times New Roman"/>
          <w:b/>
        </w:rPr>
      </w:pPr>
      <w:r w:rsidRPr="00C607C1">
        <w:rPr>
          <w:rFonts w:ascii="Times New Roman" w:hAnsi="Times New Roman" w:cs="Times New Roman"/>
          <w:b/>
        </w:rPr>
        <w:t>High-Performance Computer (Cheaha) Software Tools</w:t>
      </w:r>
    </w:p>
    <w:p w14:paraId="6BABFB9B" w14:textId="77777777" w:rsidR="005E4307" w:rsidRPr="005E4307" w:rsidRDefault="005E4307" w:rsidP="008B0B5C">
      <w:pPr>
        <w:rPr>
          <w:rFonts w:ascii="Times New Roman" w:eastAsia="Times New Roman" w:hAnsi="Times New Roman" w:cs="Times New Roman"/>
          <w:b/>
          <w:bCs/>
        </w:rPr>
      </w:pPr>
      <w:r w:rsidRPr="005E4307">
        <w:rPr>
          <w:rFonts w:ascii="Times New Roman" w:eastAsia="Times New Roman" w:hAnsi="Times New Roman" w:cs="Times New Roman"/>
        </w:rPr>
        <w:t>General research computing and scientific programming software are available on Cheaha, including Anaconda, R and RStudio, and MATLAB through the Lmod environment module system. RStudio, MATLAB, Jupyter Notebook server, and Jupyter Lab are all available on our Open OnDemand web portal as interactive applications, along with a general-use desktop environment via no-virtual network computing(VNC), directly in the browser. Researchers are enabled to develop and share their own custom interactive applications through a sandbox application feature within Open OnDemand.</w:t>
      </w:r>
    </w:p>
    <w:p w14:paraId="3FE05AAD" w14:textId="77777777" w:rsidR="005E4307" w:rsidRPr="005E4307" w:rsidRDefault="005E4307" w:rsidP="008B0B5C">
      <w:pPr>
        <w:rPr>
          <w:rFonts w:ascii="Times New Roman" w:eastAsia="Times New Roman" w:hAnsi="Times New Roman" w:cs="Times New Roman"/>
        </w:rPr>
      </w:pPr>
      <w:r w:rsidRPr="005E4307">
        <w:rPr>
          <w:rFonts w:ascii="Times New Roman" w:eastAsia="Times New Roman" w:hAnsi="Times New Roman" w:cs="Times New Roman"/>
        </w:rPr>
        <w:t>The UAB Center for Clinical and Translational Science (CCTS) Informatics group has installed and supports a variety of bioinformatics tools that are available to be run from Cheaha. Standalone packages are available for quality control (fastQC, Picard Tools), alignment (Abyss, Velvet, BWA, Bowtie) visualization (IGV), variant calling (GATK, SnpEff, annoVar), RNAseq (Cufflinks, Cuffdiff, TopHat) and microbiome and metagenomic analysis (QIIME, HUMAnN, MEGAN).</w:t>
      </w:r>
    </w:p>
    <w:p w14:paraId="1D0371F2" w14:textId="77777777" w:rsidR="005E4307" w:rsidRPr="005E4307" w:rsidRDefault="005E4307" w:rsidP="008B0B5C">
      <w:pPr>
        <w:rPr>
          <w:rFonts w:ascii="Times New Roman" w:eastAsia="Times New Roman" w:hAnsi="Times New Roman" w:cs="Times New Roman"/>
        </w:rPr>
      </w:pPr>
      <w:r w:rsidRPr="005E4307">
        <w:rPr>
          <w:rFonts w:ascii="Times New Roman" w:eastAsia="Times New Roman" w:hAnsi="Times New Roman" w:cs="Times New Roman"/>
        </w:rPr>
        <w:t>Additional scientific domain-specific software is also available, including Relion for cryo-electron microscopy analysis, AFNI for fMRI analysis, and ANSYS for simulations for research efforts of the UAB School of Engineering. Many other software packages are installed and maintained, and we encourage and facilitate researchers installing their own additional software using Anaconda, R and MATLAB package management where possible.</w:t>
      </w:r>
    </w:p>
    <w:p w14:paraId="073C8A1C" w14:textId="5C82A3A5" w:rsidR="000153D5" w:rsidRPr="00C607C1" w:rsidRDefault="005013E0" w:rsidP="008B0B5C">
      <w:pPr>
        <w:rPr>
          <w:rFonts w:ascii="Times New Roman" w:eastAsia="Times New Roman" w:hAnsi="Times New Roman" w:cs="Times New Roman"/>
          <w:b/>
        </w:rPr>
      </w:pPr>
      <w:r w:rsidRPr="00C607C1">
        <w:rPr>
          <w:rFonts w:ascii="Times New Roman" w:hAnsi="Times New Roman" w:cs="Times New Roman"/>
          <w:b/>
        </w:rPr>
        <w:t>On-Premises Cloud (cloud rc) Resources</w:t>
      </w:r>
    </w:p>
    <w:p w14:paraId="36348F38" w14:textId="6E0584E3" w:rsidR="000153D5" w:rsidRPr="00C607C1" w:rsidRDefault="005E4307" w:rsidP="008B0B5C">
      <w:pPr>
        <w:rPr>
          <w:rFonts w:ascii="Times New Roman" w:eastAsia="Times New Roman" w:hAnsi="Times New Roman" w:cs="Times New Roman"/>
        </w:rPr>
      </w:pPr>
      <w:r w:rsidRPr="005E4307">
        <w:rPr>
          <w:rFonts w:ascii="Times New Roman" w:eastAsia="Times New Roman" w:hAnsi="Times New Roman" w:cs="Times New Roman"/>
        </w:rPr>
        <w:t>UABRC operates a production private cloud called cloud.rc based on OpenStack, which echoes the research workload support goals of the Nationals Science Foundation’s (NSF’s) Jetstream2 resource part of the ACCESS network. The Cloud.RC platform has been used to support application development and DevOps processes to research labs across campus and is increasingly being leveraged to support many aspects of research IT operations. This fabric is composed of five Dell R640 48 core 192 GB RAM compute nodes for 240 cores and 960 GB of standard cloud compute resources. In addition, the fabric features four NVIDIA DGX A100 nodes that include 8 A100 GPUs and 1 TB of RAM each. These resources are available to the research community for provisioning on demand via the OpenStack services (Ussuri release). The production implementation further supports researchers by making their hosted services available beyond campus, while adhering to standard UAB Campus Network security practices. Scientific software developers have access to the full stack for limitless development opportunities, with a frictionless migration path to public cloud providers as needed for specific research projects. A Kubernetes environment was deployed in Q3 2022 to allow for development workflows using containers. The compute resources of the Kubernetes environment are a duplicate of the cloud resources. The OpenStack and Kubernetes resources are deployed via Canonical’s Charmed operations stack enabling node migration between platforms in response to capacity demand</w:t>
      </w:r>
      <w:r w:rsidR="00AF45BB">
        <w:rPr>
          <w:rFonts w:ascii="Times New Roman" w:eastAsia="Times New Roman" w:hAnsi="Times New Roman" w:cs="Times New Roman"/>
        </w:rPr>
        <w:t xml:space="preserve">.  </w:t>
      </w:r>
    </w:p>
    <w:p w14:paraId="0ED1F94F" w14:textId="77777777" w:rsidR="005013E0" w:rsidRPr="00C607C1" w:rsidRDefault="000153D5" w:rsidP="008B0B5C">
      <w:pPr>
        <w:rPr>
          <w:rFonts w:ascii="Times New Roman" w:hAnsi="Times New Roman" w:cs="Times New Roman"/>
          <w:b/>
        </w:rPr>
      </w:pPr>
      <w:r w:rsidRPr="00C607C1">
        <w:rPr>
          <w:rFonts w:ascii="Times New Roman" w:eastAsia="Times New Roman" w:hAnsi="Times New Roman" w:cs="Times New Roman"/>
          <w:b/>
        </w:rPr>
        <w:t xml:space="preserve">Research Computing </w:t>
      </w:r>
      <w:r w:rsidR="005013E0" w:rsidRPr="00C607C1">
        <w:rPr>
          <w:rFonts w:ascii="Times New Roman" w:hAnsi="Times New Roman" w:cs="Times New Roman"/>
          <w:b/>
        </w:rPr>
        <w:t>Storage Resources</w:t>
      </w:r>
    </w:p>
    <w:p w14:paraId="38F91123" w14:textId="2BE2B215" w:rsidR="005013E0" w:rsidRPr="00C607C1" w:rsidRDefault="005E4307" w:rsidP="008B0B5C">
      <w:pPr>
        <w:rPr>
          <w:rFonts w:ascii="Times New Roman" w:hAnsi="Times New Roman" w:cs="Times New Roman"/>
          <w:bCs/>
        </w:rPr>
      </w:pPr>
      <w:r w:rsidRPr="005E4307">
        <w:rPr>
          <w:rFonts w:ascii="Times New Roman" w:eastAsia="Times New Roman" w:hAnsi="Times New Roman" w:cs="Times New Roman"/>
        </w:rPr>
        <w:t>The compute nodes on Cheaha are backed by high-performance, 7 petabyte (PB) GPFS storage on DDN SFA14KX hardware connected via an EDR /FDR InfiniBand fabric. Two additional storage systems are available to support research operations and application design. They are based on the Ceph storage technology and provide different hardware configurations to address different usage scenarios. The fabrics include a 6.9 PB archive storage fabric for long term storage (LTS) built using 12 Dell DSS7500 nodes, and an 11 PB nearline storage fabric built with 14 Dell R740xd2 nodes and 248 terabyte (TB) solid state drive (SSD) cache storage fabric (Q3 2023) built with 8 Dell 840 nodes. These storage systems provide block and object storage services to the OpenStack and Kubernetes platforms. Additionally, the object storage services are empowering research applications with cloud-native data management and availability capabilities.</w:t>
      </w:r>
    </w:p>
    <w:p w14:paraId="4F87A25C" w14:textId="7F09E091" w:rsidR="000153D5" w:rsidRPr="00C607C1" w:rsidRDefault="005013E0" w:rsidP="008B0B5C">
      <w:pPr>
        <w:rPr>
          <w:rFonts w:ascii="Times New Roman" w:eastAsia="Times New Roman" w:hAnsi="Times New Roman" w:cs="Times New Roman"/>
          <w:b/>
        </w:rPr>
      </w:pPr>
      <w:r w:rsidRPr="00C607C1">
        <w:rPr>
          <w:rFonts w:ascii="Times New Roman" w:hAnsi="Times New Roman" w:cs="Times New Roman"/>
          <w:b/>
        </w:rPr>
        <w:t>Network Resources</w:t>
      </w:r>
    </w:p>
    <w:p w14:paraId="21E5F768" w14:textId="77777777" w:rsidR="005E4307" w:rsidRPr="005E4307" w:rsidRDefault="005E4307" w:rsidP="008B0B5C">
      <w:pPr>
        <w:rPr>
          <w:rFonts w:ascii="Times New Roman" w:eastAsia="Times New Roman" w:hAnsi="Times New Roman" w:cs="Times New Roman"/>
          <w:b/>
          <w:bCs/>
        </w:rPr>
      </w:pPr>
      <w:r w:rsidRPr="005E4307">
        <w:rPr>
          <w:rFonts w:ascii="Times New Roman" w:eastAsia="Times New Roman" w:hAnsi="Times New Roman" w:cs="Times New Roman"/>
        </w:rPr>
        <w:lastRenderedPageBreak/>
        <w:t>The RCS networking infrastructure connects the on- and off-campus computing and storage systems via 800 Gb/s Ethernet interconnect that provides capacity for data access and movement between the compute and storage resources. RCS networking also includes a dedicated EDR/HDR Infiniband fabric for the HPC platform and a 40 Gb/s ScienceDMZ for high-speed data transfers with national research and education networks. The ScienceDMZ supports direct connection to campus and high-bandwidth regional networks via 40 Gb/s Globus Data Transfer Nodes (DTNs) providing the capability to connect data intensive research facilities directly with the high-performance computing and storage services of the RCS. This network can support very high-speed secure connectivity between nodes connected to it for high-speed file transfer of very large data sets without the concerns of interfering with other traffic on the campus backbone, ensuring predictable latencies. The Science DMZ interface with (DTNs) includes Perfsonar measurement nodes and a Bro security node connected directly to the border router that provide a “friction-free” pathway to access external data repositories as well as computational resources.</w:t>
      </w:r>
    </w:p>
    <w:p w14:paraId="0E5127B4" w14:textId="77777777" w:rsidR="005E4307" w:rsidRPr="005E4307" w:rsidRDefault="005E4307" w:rsidP="008B0B5C">
      <w:pPr>
        <w:rPr>
          <w:rFonts w:ascii="Times New Roman" w:eastAsia="Times New Roman" w:hAnsi="Times New Roman" w:cs="Times New Roman"/>
        </w:rPr>
      </w:pPr>
      <w:r w:rsidRPr="005E4307">
        <w:rPr>
          <w:rFonts w:ascii="Times New Roman" w:eastAsia="Times New Roman" w:hAnsi="Times New Roman" w:cs="Times New Roman"/>
        </w:rPr>
        <w:t>The UAB Campus Network backbone is based on a 40 Gb/s redundant Ethernet network with 480 Gb/s back-planes on the core L2/L3 Switch/Routers. For efficient management, a collapsed backbone design is used. Each campus building is connected using 10 Gb/s ethernet links over single mode optical fiber. Desktops are connected at 1 Gb/s speed. The campus wireless network blankets classrooms, common areas and most academic office buildings. UAB connects to the Internet2 high-speed research network via the UASRON, a University of Alabama System owned and operated DWDM Network offering 100 Gb/s ethernet to the Southern Light Rail (SLR)/Southern Crossroads (SoX) in Atlanta, Ga. The UASRON also connects UAB to UA, and UAH, the other two University of Alabama System institutions, and the Alabama Supercomputer Center. UAB is also connected to other universities and schools through Alabama Research and Education Network (AREN).</w:t>
      </w:r>
    </w:p>
    <w:p w14:paraId="57836615" w14:textId="347F2D0F" w:rsidR="005013E0" w:rsidRPr="00C607C1" w:rsidRDefault="005013E0" w:rsidP="008B0B5C">
      <w:pPr>
        <w:rPr>
          <w:rFonts w:ascii="Times New Roman" w:hAnsi="Times New Roman" w:cs="Times New Roman"/>
          <w:b/>
        </w:rPr>
      </w:pPr>
      <w:r w:rsidRPr="00C607C1">
        <w:rPr>
          <w:rFonts w:ascii="Times New Roman" w:hAnsi="Times New Roman" w:cs="Times New Roman"/>
          <w:b/>
        </w:rPr>
        <w:t xml:space="preserve">Data Management and Transfer Resources </w:t>
      </w:r>
    </w:p>
    <w:p w14:paraId="1CB918CF" w14:textId="77777777" w:rsidR="005E4307" w:rsidRPr="005E4307" w:rsidRDefault="005E4307" w:rsidP="008B0B5C">
      <w:pPr>
        <w:rPr>
          <w:rFonts w:ascii="Times New Roman" w:eastAsia="Times New Roman" w:hAnsi="Times New Roman" w:cs="Times New Roman"/>
          <w:b/>
          <w:bCs/>
        </w:rPr>
      </w:pPr>
      <w:r w:rsidRPr="005E4307">
        <w:rPr>
          <w:rFonts w:ascii="Times New Roman" w:eastAsia="Times New Roman" w:hAnsi="Times New Roman" w:cs="Times New Roman"/>
        </w:rPr>
        <w:t>A traditional Portable Operating System Interface (POSIX) filesystem is available on all Cheaha HPC nodes through GPFS for data requiring computational analysis, with separate data, scratch, and shared storage. Object storage is available via our LTS S3 interface. A REST endpoint is provided for LTS and exposed to the Internet to facilitate hosting research data products for external use. Block storage is available to support storage needs for our cloud and Kubernetes fabrics.</w:t>
      </w:r>
    </w:p>
    <w:p w14:paraId="03F98F53" w14:textId="77777777" w:rsidR="005E4307" w:rsidRPr="005E4307" w:rsidRDefault="005E4307" w:rsidP="008B0B5C">
      <w:pPr>
        <w:rPr>
          <w:rFonts w:ascii="Times New Roman" w:eastAsia="Times New Roman" w:hAnsi="Times New Roman" w:cs="Times New Roman"/>
        </w:rPr>
      </w:pPr>
      <w:r w:rsidRPr="005E4307">
        <w:rPr>
          <w:rFonts w:ascii="Times New Roman" w:eastAsia="Times New Roman" w:hAnsi="Times New Roman" w:cs="Times New Roman"/>
        </w:rPr>
        <w:t>All faculty, staff and students who create a Research Computing account have immediate access to 5 TB of personal GPFS storage and may request an additional 5 TB of LTS storage. Research PI groups, Core facilities, and other research groups at UAB may request up to 25 TB of GPFS storage and 75 TB of LTS storage for shared collaboration spaces.</w:t>
      </w:r>
    </w:p>
    <w:p w14:paraId="17FC19A1" w14:textId="77777777" w:rsidR="005E4307" w:rsidRPr="005E4307" w:rsidRDefault="005E4307" w:rsidP="008B0B5C">
      <w:pPr>
        <w:rPr>
          <w:rFonts w:ascii="Times New Roman" w:eastAsia="Times New Roman" w:hAnsi="Times New Roman" w:cs="Times New Roman"/>
        </w:rPr>
      </w:pPr>
      <w:r w:rsidRPr="005E4307">
        <w:rPr>
          <w:rFonts w:ascii="Times New Roman" w:eastAsia="Times New Roman" w:hAnsi="Times New Roman" w:cs="Times New Roman"/>
        </w:rPr>
        <w:t>Globus High-Assurance (HA) endpoints are maintained on the RCS platform to facilitate internal and external data transfers. Connectors to our enterprise Box.com instance and our LTS S3 interface are made available as part of our Globus subscription. A controlled-access Science DMZ partition of our hardware is available to facilitate high-throughput, parallel batch data transfers over the available 40 Gb/s connection to the external internet. Standard data transfer software such as Rclone, AWSCLI and s3cmd, and UAB-specific documentation and support, are provided to researchers to facilitate data transfers whenever Globus is infeasible.</w:t>
      </w:r>
    </w:p>
    <w:p w14:paraId="0FFBF9C1" w14:textId="155CC65D" w:rsidR="000153D5" w:rsidRPr="00C607C1" w:rsidRDefault="005013E0" w:rsidP="008B0B5C">
      <w:pPr>
        <w:rPr>
          <w:rFonts w:ascii="Times New Roman" w:eastAsia="Times New Roman" w:hAnsi="Times New Roman" w:cs="Times New Roman"/>
          <w:b/>
        </w:rPr>
      </w:pPr>
      <w:r w:rsidRPr="00C607C1">
        <w:rPr>
          <w:rFonts w:ascii="Times New Roman" w:hAnsi="Times New Roman" w:cs="Times New Roman"/>
          <w:b/>
        </w:rPr>
        <w:t>Facilitation, Outreach, Documentation and Support</w:t>
      </w:r>
    </w:p>
    <w:p w14:paraId="04674B8E" w14:textId="4653372A" w:rsidR="00AB7CA8" w:rsidRPr="00C607C1" w:rsidRDefault="005E4307" w:rsidP="008B0B5C">
      <w:pPr>
        <w:rPr>
          <w:rFonts w:ascii="Times New Roman" w:hAnsi="Times New Roman" w:cs="Times New Roman"/>
        </w:rPr>
      </w:pPr>
      <w:r w:rsidRPr="005E4307">
        <w:rPr>
          <w:rFonts w:ascii="Times New Roman" w:eastAsia="Times New Roman" w:hAnsi="Times New Roman" w:cs="Times New Roman"/>
        </w:rPr>
        <w:t xml:space="preserve">UABRC provides research computation facilitation services for researchers using RCS. These services exist to reduce friction for researchers seeking to scale workflows from desktop and workstation scale up to HPC scale. Part of </w:t>
      </w:r>
      <w:r w:rsidR="00AF45BB">
        <w:rPr>
          <w:rFonts w:ascii="Times New Roman" w:eastAsia="Times New Roman" w:hAnsi="Times New Roman" w:cs="Times New Roman"/>
        </w:rPr>
        <w:t xml:space="preserve">the </w:t>
      </w:r>
      <w:r w:rsidRPr="005E4307">
        <w:rPr>
          <w:rFonts w:ascii="Times New Roman" w:eastAsia="Times New Roman" w:hAnsi="Times New Roman" w:cs="Times New Roman"/>
        </w:rPr>
        <w:t xml:space="preserve">facilitation </w:t>
      </w:r>
      <w:r w:rsidR="00AF45BB" w:rsidRPr="005E4307">
        <w:rPr>
          <w:rFonts w:ascii="Times New Roman" w:eastAsia="Times New Roman" w:hAnsi="Times New Roman" w:cs="Times New Roman"/>
        </w:rPr>
        <w:t>service includes</w:t>
      </w:r>
      <w:r w:rsidRPr="005E4307">
        <w:rPr>
          <w:rFonts w:ascii="Times New Roman" w:eastAsia="Times New Roman" w:hAnsi="Times New Roman" w:cs="Times New Roman"/>
        </w:rPr>
        <w:t xml:space="preserve"> computational outreach efforts within UAB, including facilitating lesson design for courses making use of our platform, teaching a Data Science Journal Club course, providing how-to-use-HPC lessons at University events, and proactively identifying opportunities for education and efficiency improvements using our internal observability stack.  Extensive documentation of computational capabilities, good practices for system use, references and tutorials are all available on our documentation website, publicly available on the Internet.</w:t>
      </w:r>
    </w:p>
    <w:p w14:paraId="2DA0926A" w14:textId="5FF724EE" w:rsidR="000153D5" w:rsidRPr="00C607C1" w:rsidRDefault="00AB7CA8" w:rsidP="008B0B5C">
      <w:pPr>
        <w:rPr>
          <w:rFonts w:ascii="Times New Roman" w:eastAsia="Times New Roman" w:hAnsi="Times New Roman" w:cs="Times New Roman"/>
          <w:b/>
        </w:rPr>
      </w:pPr>
      <w:r w:rsidRPr="00C607C1">
        <w:rPr>
          <w:rFonts w:ascii="Times New Roman" w:hAnsi="Times New Roman" w:cs="Times New Roman"/>
          <w:b/>
        </w:rPr>
        <w:t>Research Computing Personnel</w:t>
      </w:r>
    </w:p>
    <w:p w14:paraId="7965A5E3" w14:textId="77777777" w:rsidR="002971B1" w:rsidRDefault="005E4307" w:rsidP="008B0B5C">
      <w:pPr>
        <w:rPr>
          <w:rFonts w:ascii="Times New Roman" w:eastAsia="Times New Roman" w:hAnsi="Times New Roman" w:cs="Times New Roman"/>
        </w:rPr>
      </w:pPr>
      <w:r w:rsidRPr="005E4307">
        <w:rPr>
          <w:rFonts w:ascii="Times New Roman" w:eastAsia="Times New Roman" w:hAnsi="Times New Roman" w:cs="Times New Roman"/>
        </w:rPr>
        <w:t>UAB IT Research Computing currently maintains a support staff of 14 led by the Assistant Vice President for Research Computing and includes one HPC Architect-Manager, one Research Facilitation and Data Manager, four Software developers, four Research Facilitation Scientists, and three system administrators</w:t>
      </w:r>
      <w:r w:rsidR="00AF45BB">
        <w:rPr>
          <w:rFonts w:ascii="Times New Roman" w:eastAsia="Times New Roman" w:hAnsi="Times New Roman" w:cs="Times New Roman"/>
        </w:rPr>
        <w:t xml:space="preserve">.  </w:t>
      </w:r>
    </w:p>
    <w:p w14:paraId="359B9A3B" w14:textId="01782665" w:rsidR="000153D5" w:rsidRPr="002971B1" w:rsidRDefault="00AB7CA8" w:rsidP="008B0B5C">
      <w:pPr>
        <w:rPr>
          <w:rFonts w:ascii="Times New Roman" w:eastAsia="Times New Roman" w:hAnsi="Times New Roman" w:cs="Times New Roman"/>
          <w:b/>
          <w:u w:val="single"/>
        </w:rPr>
      </w:pPr>
      <w:r w:rsidRPr="002971B1">
        <w:rPr>
          <w:rFonts w:ascii="Times New Roman" w:hAnsi="Times New Roman" w:cs="Times New Roman"/>
          <w:b/>
          <w:u w:val="single"/>
        </w:rPr>
        <w:lastRenderedPageBreak/>
        <w:t xml:space="preserve">UAB Cybersecurity Policies and Practices </w:t>
      </w:r>
    </w:p>
    <w:p w14:paraId="75F04285" w14:textId="77777777" w:rsidR="005E4307" w:rsidRPr="005E4307" w:rsidRDefault="005E4307" w:rsidP="008B0B5C">
      <w:pPr>
        <w:rPr>
          <w:rFonts w:ascii="Times New Roman" w:eastAsia="Times New Roman" w:hAnsi="Times New Roman" w:cs="Times New Roman"/>
        </w:rPr>
      </w:pPr>
      <w:r w:rsidRPr="005E4307">
        <w:rPr>
          <w:rFonts w:ascii="Times New Roman" w:eastAsia="Times New Roman" w:hAnsi="Times New Roman" w:cs="Times New Roman"/>
        </w:rPr>
        <w:t>UAB IT maintains a comprehensive privacy and information security program that preserves and protects the confidentiality, availability and integrity of all information assets including patients, research, customer and business data. The security program upholds values and provides high standards of service, trust, confidentiality and responsiveness. The security program include the following:</w:t>
      </w:r>
    </w:p>
    <w:p w14:paraId="1D34DF28"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IT security policies designed to help ensure a secure state of operations and information management.</w:t>
      </w:r>
    </w:p>
    <w:p w14:paraId="1061B84F"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Technical security standards that document baseline security requirements for key technologies and platforms such as major operating systems, databases, network device operating systems, firewalls, web-server security, email, encryption, secure file transfer protocols, virus defense, media reuse and media disposal.</w:t>
      </w:r>
    </w:p>
    <w:p w14:paraId="0FE859B6"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A comprehensive risk management program based on the NIST Cybersecurity Framework (CSF).</w:t>
      </w:r>
    </w:p>
    <w:p w14:paraId="5FC658A2"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A data classification rule to assist the UAB community in the classification of data and systems to determine the appropriate level of security. All UAB data stored, processed, or transmitted must be classified in accordance with this rule. Based on classification; users are required to implement appropriate security controls.</w:t>
      </w:r>
    </w:p>
    <w:p w14:paraId="57431D8F"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A data protection rule to assist the UAB research community in the protections requirements of data and systems. All UAB research data stored, processed, or transmitted must be protected in accordance with these standards. Based on the regulatory or contractual requirements of the award; researchers are required to implement appropriate security controls.</w:t>
      </w:r>
    </w:p>
    <w:p w14:paraId="44D1E791"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A computer security incident response plan that is supported by cross-functional response and recovery teams.</w:t>
      </w:r>
    </w:p>
    <w:p w14:paraId="43AD7FBD"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User system access is tightly controlled and meets standards required by various regulations (e.g. HIPAA, FERPA, etc.). Two-factor authentication is utilized for many of the shared systems. Users must agree to the requirements set forth in the password rule. We also must routinely demonstrate compliance with Federal granting agencies and the corresponding security requirements such as the NIH, FISMA and the VA.</w:t>
      </w:r>
    </w:p>
    <w:p w14:paraId="720A5C3C"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An enterprise firewall platform for perimeter, datacenter and customer layered protection and segmentation. The firewall also consists of an Intrusion Prevention System (IPS) as well as content filtering and malware sandboxing.</w:t>
      </w:r>
    </w:p>
    <w:p w14:paraId="12815D31"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An enterprise centralized logging solution (aka SIEM tool) to store logs and generate alerts to the Security Operations team for items that might need attention.</w:t>
      </w:r>
    </w:p>
    <w:p w14:paraId="07E0C9CA"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In addition to the Security Operations team (SOC) who handles incident response, forensics, EDR management, firewall management, etc., we also have a Threat and Vulnerability Team (TVT) that handles penetration testing, vulnerability scanning, phishing simulations and threat hunting. We also have a Risk Management team that handles application/business unit risk assessments, 3rd party risk assessments, MFA administration, Security Awareness and Training. We also have a Security Architect who handles architectural discussions for all sorts of projects across the campus.</w:t>
      </w:r>
    </w:p>
    <w:p w14:paraId="55AA0B92"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UAB maintains an Internet of Things (IoT) policy to ensure all IoT devices that reside on the UAB Campus Network (wired or wireless) must be proactively managed and adhere to the university’s IoT security strategy.</w:t>
      </w:r>
    </w:p>
    <w:p w14:paraId="778ABAED"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Email is monitored with the highest level of defense offered from Microsoft with their extended detection and response (XDR) platform. This includes safe attachments, impersonation and other anti-phishing methods. UAB also utilizes DMARC, DKIM and SPF for additional email best practices. We also maintain email guidelines for the UAB community to adhere to.</w:t>
      </w:r>
    </w:p>
    <w:p w14:paraId="2031FC9A"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Encrypted virtual private network (VPN) tunnels for business associates, staff remote access, or partner VPN connectivity.</w:t>
      </w:r>
    </w:p>
    <w:p w14:paraId="38B46601"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Capability to support encrypted secure file transfers with Globus for HPC and other cloud-based solutions for traditional cloud-based storage needs.</w:t>
      </w:r>
    </w:p>
    <w:p w14:paraId="7BBA07D5"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lastRenderedPageBreak/>
        <w:t>Endpoint Detection / Response (EDR) agents and comprehensive patch management programs installed on all UAB managed computer workstations and servers to protect against malware infections. The EDR logs are monitored 24x7x365 by a third party to give full oversight and attention to needed items on the systems.</w:t>
      </w:r>
    </w:p>
    <w:p w14:paraId="2ACB5D8F"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A vulnerability management rule describes the process used by University of Alabama at Birmingham Information Technology (UAB IT) in mitigating the risks from computer security vulnerabilities.</w:t>
      </w:r>
    </w:p>
    <w:p w14:paraId="56D0EF12" w14:textId="2D449943"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In-depth security awareness training that is provided for all Faculty</w:t>
      </w:r>
      <w:r w:rsidR="00095ECC">
        <w:rPr>
          <w:rFonts w:ascii="Times New Roman" w:eastAsia="Times New Roman" w:hAnsi="Times New Roman" w:cs="Times New Roman"/>
        </w:rPr>
        <w:t xml:space="preserve"> and</w:t>
      </w:r>
      <w:r w:rsidRPr="005E4307">
        <w:rPr>
          <w:rFonts w:ascii="Times New Roman" w:eastAsia="Times New Roman" w:hAnsi="Times New Roman" w:cs="Times New Roman"/>
        </w:rPr>
        <w:t xml:space="preserve"> Staff.</w:t>
      </w:r>
    </w:p>
    <w:p w14:paraId="28706141" w14:textId="77777777" w:rsidR="005E4307" w:rsidRPr="005E4307" w:rsidRDefault="005E4307" w:rsidP="008B0B5C">
      <w:pPr>
        <w:numPr>
          <w:ilvl w:val="0"/>
          <w:numId w:val="13"/>
        </w:numPr>
        <w:rPr>
          <w:rFonts w:ascii="Times New Roman" w:eastAsia="Times New Roman" w:hAnsi="Times New Roman" w:cs="Times New Roman"/>
        </w:rPr>
      </w:pPr>
      <w:r w:rsidRPr="005E4307">
        <w:rPr>
          <w:rFonts w:ascii="Times New Roman" w:eastAsia="Times New Roman" w:hAnsi="Times New Roman" w:cs="Times New Roman"/>
        </w:rPr>
        <w:t>UAB also maintains an IT Governance program that will, in consultation with strategic campus partners, provide a review that evaluates the risk associated with the above items. This review is also intended to prevent duplication of technology while complying with security and regulatory requirements.</w:t>
      </w:r>
    </w:p>
    <w:p w14:paraId="58EC0DB9" w14:textId="7FFF3CC8" w:rsidR="0087406D" w:rsidRPr="00C607C1" w:rsidRDefault="0087406D" w:rsidP="008B0B5C">
      <w:pPr>
        <w:rPr>
          <w:rFonts w:ascii="Times New Roman" w:hAnsi="Times New Roman" w:cs="Times New Roman"/>
        </w:rPr>
      </w:pPr>
    </w:p>
    <w:sectPr w:rsidR="0087406D" w:rsidRPr="00C607C1" w:rsidSect="008740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796EFE3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67C7832"/>
    <w:multiLevelType w:val="hybridMultilevel"/>
    <w:tmpl w:val="D54E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D10CD"/>
    <w:multiLevelType w:val="hybridMultilevel"/>
    <w:tmpl w:val="0DDAA66A"/>
    <w:lvl w:ilvl="0" w:tplc="A37E88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71064"/>
    <w:multiLevelType w:val="multilevel"/>
    <w:tmpl w:val="056C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396344"/>
    <w:multiLevelType w:val="hybridMultilevel"/>
    <w:tmpl w:val="CDA6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80C88"/>
    <w:multiLevelType w:val="hybridMultilevel"/>
    <w:tmpl w:val="D34C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D5B16"/>
    <w:multiLevelType w:val="hybridMultilevel"/>
    <w:tmpl w:val="6374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460E6"/>
    <w:multiLevelType w:val="multilevel"/>
    <w:tmpl w:val="3B1AD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A008F"/>
    <w:multiLevelType w:val="hybridMultilevel"/>
    <w:tmpl w:val="1F74EB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E719E0"/>
    <w:multiLevelType w:val="hybridMultilevel"/>
    <w:tmpl w:val="9856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861E5"/>
    <w:multiLevelType w:val="hybridMultilevel"/>
    <w:tmpl w:val="AAD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41286"/>
    <w:multiLevelType w:val="hybridMultilevel"/>
    <w:tmpl w:val="C090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B4AEB"/>
    <w:multiLevelType w:val="multilevel"/>
    <w:tmpl w:val="BB3A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4167945">
    <w:abstractNumId w:val="7"/>
  </w:num>
  <w:num w:numId="2" w16cid:durableId="2111315804">
    <w:abstractNumId w:val="11"/>
  </w:num>
  <w:num w:numId="3" w16cid:durableId="265044404">
    <w:abstractNumId w:val="12"/>
  </w:num>
  <w:num w:numId="4" w16cid:durableId="2083019335">
    <w:abstractNumId w:val="3"/>
  </w:num>
  <w:num w:numId="5" w16cid:durableId="1326468535">
    <w:abstractNumId w:val="6"/>
  </w:num>
  <w:num w:numId="6" w16cid:durableId="1010451998">
    <w:abstractNumId w:val="5"/>
  </w:num>
  <w:num w:numId="7" w16cid:durableId="739329313">
    <w:abstractNumId w:val="2"/>
  </w:num>
  <w:num w:numId="8" w16cid:durableId="154612008">
    <w:abstractNumId w:val="8"/>
  </w:num>
  <w:num w:numId="9" w16cid:durableId="506292968">
    <w:abstractNumId w:val="1"/>
  </w:num>
  <w:num w:numId="10" w16cid:durableId="1501238702">
    <w:abstractNumId w:val="10"/>
  </w:num>
  <w:num w:numId="11" w16cid:durableId="1825966542">
    <w:abstractNumId w:val="9"/>
  </w:num>
  <w:num w:numId="12" w16cid:durableId="2117289161">
    <w:abstractNumId w:val="4"/>
  </w:num>
  <w:num w:numId="13" w16cid:durableId="195097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6D"/>
    <w:rsid w:val="000021F8"/>
    <w:rsid w:val="000055B2"/>
    <w:rsid w:val="000153D5"/>
    <w:rsid w:val="0002355D"/>
    <w:rsid w:val="00023F52"/>
    <w:rsid w:val="000459A1"/>
    <w:rsid w:val="00046464"/>
    <w:rsid w:val="000510EC"/>
    <w:rsid w:val="0005190D"/>
    <w:rsid w:val="00054100"/>
    <w:rsid w:val="000611C3"/>
    <w:rsid w:val="000640A5"/>
    <w:rsid w:val="00067272"/>
    <w:rsid w:val="00070AFB"/>
    <w:rsid w:val="00095ECC"/>
    <w:rsid w:val="000B2449"/>
    <w:rsid w:val="000B2AEE"/>
    <w:rsid w:val="000D3E00"/>
    <w:rsid w:val="000D70B1"/>
    <w:rsid w:val="000E172B"/>
    <w:rsid w:val="000F0229"/>
    <w:rsid w:val="000F351F"/>
    <w:rsid w:val="000F66DA"/>
    <w:rsid w:val="001011CF"/>
    <w:rsid w:val="0010531B"/>
    <w:rsid w:val="0012163D"/>
    <w:rsid w:val="00121667"/>
    <w:rsid w:val="001625A5"/>
    <w:rsid w:val="00176F44"/>
    <w:rsid w:val="001860FD"/>
    <w:rsid w:val="001869E2"/>
    <w:rsid w:val="0019767E"/>
    <w:rsid w:val="001B5647"/>
    <w:rsid w:val="001C6C4F"/>
    <w:rsid w:val="001C7D0D"/>
    <w:rsid w:val="001D7211"/>
    <w:rsid w:val="001D7283"/>
    <w:rsid w:val="001F2BC1"/>
    <w:rsid w:val="001F3E9D"/>
    <w:rsid w:val="00201F04"/>
    <w:rsid w:val="002113FE"/>
    <w:rsid w:val="00211E1C"/>
    <w:rsid w:val="0022158A"/>
    <w:rsid w:val="00223B7F"/>
    <w:rsid w:val="0022477D"/>
    <w:rsid w:val="00235BC3"/>
    <w:rsid w:val="002363E1"/>
    <w:rsid w:val="0026304E"/>
    <w:rsid w:val="0026599B"/>
    <w:rsid w:val="002842E8"/>
    <w:rsid w:val="00287455"/>
    <w:rsid w:val="00296B20"/>
    <w:rsid w:val="002971B1"/>
    <w:rsid w:val="002A6485"/>
    <w:rsid w:val="002C115D"/>
    <w:rsid w:val="002C1A6A"/>
    <w:rsid w:val="002D022C"/>
    <w:rsid w:val="002E4BE3"/>
    <w:rsid w:val="002F1011"/>
    <w:rsid w:val="002F40FB"/>
    <w:rsid w:val="00301DAC"/>
    <w:rsid w:val="00306228"/>
    <w:rsid w:val="003118B0"/>
    <w:rsid w:val="00323938"/>
    <w:rsid w:val="00325EA3"/>
    <w:rsid w:val="0033017B"/>
    <w:rsid w:val="00331AAD"/>
    <w:rsid w:val="00340DCC"/>
    <w:rsid w:val="003447FD"/>
    <w:rsid w:val="003501E6"/>
    <w:rsid w:val="00354506"/>
    <w:rsid w:val="0035585B"/>
    <w:rsid w:val="00382161"/>
    <w:rsid w:val="00385455"/>
    <w:rsid w:val="00394161"/>
    <w:rsid w:val="003A5383"/>
    <w:rsid w:val="003B6DBB"/>
    <w:rsid w:val="003C1B24"/>
    <w:rsid w:val="003D1A61"/>
    <w:rsid w:val="003E1984"/>
    <w:rsid w:val="003E6034"/>
    <w:rsid w:val="003E6835"/>
    <w:rsid w:val="003E6D04"/>
    <w:rsid w:val="003F15B7"/>
    <w:rsid w:val="004012D5"/>
    <w:rsid w:val="00402B6C"/>
    <w:rsid w:val="004032B6"/>
    <w:rsid w:val="00443C6C"/>
    <w:rsid w:val="00444D75"/>
    <w:rsid w:val="0044511B"/>
    <w:rsid w:val="00457FBA"/>
    <w:rsid w:val="004731B0"/>
    <w:rsid w:val="004816C6"/>
    <w:rsid w:val="00481A44"/>
    <w:rsid w:val="004A72BA"/>
    <w:rsid w:val="004B3AEC"/>
    <w:rsid w:val="004E58E0"/>
    <w:rsid w:val="004F71F7"/>
    <w:rsid w:val="005013E0"/>
    <w:rsid w:val="005107C5"/>
    <w:rsid w:val="00516024"/>
    <w:rsid w:val="00522884"/>
    <w:rsid w:val="00527A38"/>
    <w:rsid w:val="00531965"/>
    <w:rsid w:val="00531F75"/>
    <w:rsid w:val="005331F1"/>
    <w:rsid w:val="00536D77"/>
    <w:rsid w:val="0056278B"/>
    <w:rsid w:val="0056319B"/>
    <w:rsid w:val="00586EE6"/>
    <w:rsid w:val="00597EEC"/>
    <w:rsid w:val="005B3C92"/>
    <w:rsid w:val="005B6B74"/>
    <w:rsid w:val="005C00CC"/>
    <w:rsid w:val="005C48AA"/>
    <w:rsid w:val="005D0961"/>
    <w:rsid w:val="005D48F0"/>
    <w:rsid w:val="005D5018"/>
    <w:rsid w:val="005D7605"/>
    <w:rsid w:val="005E091E"/>
    <w:rsid w:val="005E3F2D"/>
    <w:rsid w:val="005E4307"/>
    <w:rsid w:val="005F4723"/>
    <w:rsid w:val="005F6D09"/>
    <w:rsid w:val="00601CA1"/>
    <w:rsid w:val="0060274C"/>
    <w:rsid w:val="00613A8A"/>
    <w:rsid w:val="00616EFF"/>
    <w:rsid w:val="00620E6A"/>
    <w:rsid w:val="00640754"/>
    <w:rsid w:val="00653F62"/>
    <w:rsid w:val="0066297E"/>
    <w:rsid w:val="00662D28"/>
    <w:rsid w:val="00677BBA"/>
    <w:rsid w:val="006A5CB1"/>
    <w:rsid w:val="006C239F"/>
    <w:rsid w:val="006C308D"/>
    <w:rsid w:val="006C416E"/>
    <w:rsid w:val="006C4195"/>
    <w:rsid w:val="006C4EC2"/>
    <w:rsid w:val="006D3E97"/>
    <w:rsid w:val="006D4EA4"/>
    <w:rsid w:val="006E2B68"/>
    <w:rsid w:val="006E2EF0"/>
    <w:rsid w:val="006F42EB"/>
    <w:rsid w:val="00711633"/>
    <w:rsid w:val="00711EAE"/>
    <w:rsid w:val="007157E0"/>
    <w:rsid w:val="00723347"/>
    <w:rsid w:val="007320DA"/>
    <w:rsid w:val="007510A1"/>
    <w:rsid w:val="007519D3"/>
    <w:rsid w:val="00767846"/>
    <w:rsid w:val="0078446E"/>
    <w:rsid w:val="0079698D"/>
    <w:rsid w:val="007A51D9"/>
    <w:rsid w:val="007B66F5"/>
    <w:rsid w:val="007B7A46"/>
    <w:rsid w:val="007E58D6"/>
    <w:rsid w:val="007F0235"/>
    <w:rsid w:val="007F0EA5"/>
    <w:rsid w:val="007F6AA5"/>
    <w:rsid w:val="007F7DC5"/>
    <w:rsid w:val="008033D7"/>
    <w:rsid w:val="0080684C"/>
    <w:rsid w:val="00826C85"/>
    <w:rsid w:val="00827B22"/>
    <w:rsid w:val="00832258"/>
    <w:rsid w:val="008358C3"/>
    <w:rsid w:val="00846A7E"/>
    <w:rsid w:val="00855A5E"/>
    <w:rsid w:val="00856C86"/>
    <w:rsid w:val="00857713"/>
    <w:rsid w:val="0086004B"/>
    <w:rsid w:val="00860127"/>
    <w:rsid w:val="00867641"/>
    <w:rsid w:val="00870E5C"/>
    <w:rsid w:val="0087406D"/>
    <w:rsid w:val="00875BEC"/>
    <w:rsid w:val="0088229D"/>
    <w:rsid w:val="00887722"/>
    <w:rsid w:val="00896BF6"/>
    <w:rsid w:val="008A76BE"/>
    <w:rsid w:val="008B0B5C"/>
    <w:rsid w:val="008B24C9"/>
    <w:rsid w:val="008B7FBD"/>
    <w:rsid w:val="008C7914"/>
    <w:rsid w:val="008D07C4"/>
    <w:rsid w:val="008F0356"/>
    <w:rsid w:val="008F4241"/>
    <w:rsid w:val="008F7A03"/>
    <w:rsid w:val="00914ECA"/>
    <w:rsid w:val="00916B8E"/>
    <w:rsid w:val="00924457"/>
    <w:rsid w:val="009270DF"/>
    <w:rsid w:val="00946201"/>
    <w:rsid w:val="00971CBB"/>
    <w:rsid w:val="00974A1C"/>
    <w:rsid w:val="00977164"/>
    <w:rsid w:val="00997561"/>
    <w:rsid w:val="009A5F99"/>
    <w:rsid w:val="009B04C8"/>
    <w:rsid w:val="009B27FA"/>
    <w:rsid w:val="009B32EA"/>
    <w:rsid w:val="009B5847"/>
    <w:rsid w:val="009B68DB"/>
    <w:rsid w:val="009C1AF2"/>
    <w:rsid w:val="009D2E17"/>
    <w:rsid w:val="009F0240"/>
    <w:rsid w:val="00A17A00"/>
    <w:rsid w:val="00A278BB"/>
    <w:rsid w:val="00A3424A"/>
    <w:rsid w:val="00A45F09"/>
    <w:rsid w:val="00A50149"/>
    <w:rsid w:val="00A638DF"/>
    <w:rsid w:val="00A64D38"/>
    <w:rsid w:val="00A67739"/>
    <w:rsid w:val="00A74EBB"/>
    <w:rsid w:val="00A83818"/>
    <w:rsid w:val="00A93C04"/>
    <w:rsid w:val="00AA379E"/>
    <w:rsid w:val="00AA694D"/>
    <w:rsid w:val="00AB112F"/>
    <w:rsid w:val="00AB7CA8"/>
    <w:rsid w:val="00AC61D9"/>
    <w:rsid w:val="00AD59B9"/>
    <w:rsid w:val="00AD69EC"/>
    <w:rsid w:val="00AD7F34"/>
    <w:rsid w:val="00AE1C73"/>
    <w:rsid w:val="00AE1D61"/>
    <w:rsid w:val="00AE3C02"/>
    <w:rsid w:val="00AE44E7"/>
    <w:rsid w:val="00AE66DA"/>
    <w:rsid w:val="00AF45BB"/>
    <w:rsid w:val="00B12F96"/>
    <w:rsid w:val="00B13D76"/>
    <w:rsid w:val="00B27B3E"/>
    <w:rsid w:val="00B46C96"/>
    <w:rsid w:val="00B51B9B"/>
    <w:rsid w:val="00B55064"/>
    <w:rsid w:val="00B71D1A"/>
    <w:rsid w:val="00B8254C"/>
    <w:rsid w:val="00BC1A35"/>
    <w:rsid w:val="00BC609A"/>
    <w:rsid w:val="00BD5392"/>
    <w:rsid w:val="00BE4F6B"/>
    <w:rsid w:val="00BE5C0C"/>
    <w:rsid w:val="00BF34EF"/>
    <w:rsid w:val="00C01A45"/>
    <w:rsid w:val="00C04EB1"/>
    <w:rsid w:val="00C11D3A"/>
    <w:rsid w:val="00C13CDA"/>
    <w:rsid w:val="00C20F7F"/>
    <w:rsid w:val="00C23A10"/>
    <w:rsid w:val="00C24D97"/>
    <w:rsid w:val="00C301C4"/>
    <w:rsid w:val="00C31A63"/>
    <w:rsid w:val="00C32CD6"/>
    <w:rsid w:val="00C424A5"/>
    <w:rsid w:val="00C43CBB"/>
    <w:rsid w:val="00C45132"/>
    <w:rsid w:val="00C460B5"/>
    <w:rsid w:val="00C47DBA"/>
    <w:rsid w:val="00C607C1"/>
    <w:rsid w:val="00C75D1F"/>
    <w:rsid w:val="00C959E8"/>
    <w:rsid w:val="00CA1D70"/>
    <w:rsid w:val="00CA36A9"/>
    <w:rsid w:val="00CA4864"/>
    <w:rsid w:val="00CC7CE2"/>
    <w:rsid w:val="00CD24C5"/>
    <w:rsid w:val="00CE0C48"/>
    <w:rsid w:val="00CE12EE"/>
    <w:rsid w:val="00CF04DB"/>
    <w:rsid w:val="00D05910"/>
    <w:rsid w:val="00D24070"/>
    <w:rsid w:val="00D52B18"/>
    <w:rsid w:val="00D55E8D"/>
    <w:rsid w:val="00D66B7A"/>
    <w:rsid w:val="00D73821"/>
    <w:rsid w:val="00D769AA"/>
    <w:rsid w:val="00D82DD5"/>
    <w:rsid w:val="00D90C40"/>
    <w:rsid w:val="00D9557B"/>
    <w:rsid w:val="00DA2232"/>
    <w:rsid w:val="00DB3AD6"/>
    <w:rsid w:val="00DB5930"/>
    <w:rsid w:val="00DB6727"/>
    <w:rsid w:val="00DC7130"/>
    <w:rsid w:val="00DD5913"/>
    <w:rsid w:val="00DF21D1"/>
    <w:rsid w:val="00E00113"/>
    <w:rsid w:val="00E16C53"/>
    <w:rsid w:val="00E223F9"/>
    <w:rsid w:val="00E278BE"/>
    <w:rsid w:val="00E449E5"/>
    <w:rsid w:val="00E44E3A"/>
    <w:rsid w:val="00E47D81"/>
    <w:rsid w:val="00E561C2"/>
    <w:rsid w:val="00E6089D"/>
    <w:rsid w:val="00E61558"/>
    <w:rsid w:val="00E74A99"/>
    <w:rsid w:val="00E74AA9"/>
    <w:rsid w:val="00E816F5"/>
    <w:rsid w:val="00E93E6C"/>
    <w:rsid w:val="00E94F97"/>
    <w:rsid w:val="00EA4248"/>
    <w:rsid w:val="00EA5BB3"/>
    <w:rsid w:val="00EA5BEF"/>
    <w:rsid w:val="00EC4D73"/>
    <w:rsid w:val="00ED1C70"/>
    <w:rsid w:val="00ED387E"/>
    <w:rsid w:val="00ED464D"/>
    <w:rsid w:val="00F12386"/>
    <w:rsid w:val="00F14930"/>
    <w:rsid w:val="00F21BC3"/>
    <w:rsid w:val="00F309B6"/>
    <w:rsid w:val="00F3195B"/>
    <w:rsid w:val="00F37389"/>
    <w:rsid w:val="00F63BE5"/>
    <w:rsid w:val="00F75155"/>
    <w:rsid w:val="00F77FA8"/>
    <w:rsid w:val="00F811CA"/>
    <w:rsid w:val="00F83363"/>
    <w:rsid w:val="00FB1EE1"/>
    <w:rsid w:val="00FB1F9D"/>
    <w:rsid w:val="00FC3547"/>
    <w:rsid w:val="00FC5A66"/>
    <w:rsid w:val="00FE7E96"/>
    <w:rsid w:val="00FF419B"/>
    <w:rsid w:val="00FF5665"/>
    <w:rsid w:val="0A1BC236"/>
    <w:rsid w:val="18BC22B5"/>
    <w:rsid w:val="2FF87363"/>
    <w:rsid w:val="5290DB83"/>
    <w:rsid w:val="5AE2AABF"/>
    <w:rsid w:val="7042F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1426"/>
  <w15:docId w15:val="{6DE54A59-36B9-4D86-99C0-F67876DF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6D"/>
  </w:style>
  <w:style w:type="paragraph" w:styleId="Heading2">
    <w:name w:val="heading 2"/>
    <w:basedOn w:val="Normal"/>
    <w:next w:val="Normal"/>
    <w:link w:val="Heading2Char"/>
    <w:uiPriority w:val="9"/>
    <w:semiHidden/>
    <w:unhideWhenUsed/>
    <w:qFormat/>
    <w:rsid w:val="00E16C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406D"/>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unhideWhenUsed/>
    <w:qFormat/>
    <w:rsid w:val="0087406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406D"/>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uiPriority w:val="9"/>
    <w:rsid w:val="0087406D"/>
    <w:rPr>
      <w:rFonts w:asciiTheme="majorHAnsi" w:eastAsiaTheme="majorEastAsia" w:hAnsiTheme="majorHAnsi" w:cstheme="majorBidi"/>
      <w:color w:val="1F3763" w:themeColor="accent1" w:themeShade="7F"/>
    </w:rPr>
  </w:style>
  <w:style w:type="paragraph" w:customStyle="1" w:styleId="grant">
    <w:name w:val="grant"/>
    <w:basedOn w:val="Normal"/>
    <w:link w:val="grantChar"/>
    <w:qFormat/>
    <w:rsid w:val="0087406D"/>
    <w:pPr>
      <w:autoSpaceDE w:val="0"/>
      <w:autoSpaceDN w:val="0"/>
      <w:adjustRightInd w:val="0"/>
      <w:spacing w:after="60" w:line="240" w:lineRule="auto"/>
    </w:pPr>
    <w:rPr>
      <w:rFonts w:ascii="Arial" w:hAnsi="Arial" w:cs="Arial"/>
      <w:bCs/>
    </w:rPr>
  </w:style>
  <w:style w:type="character" w:customStyle="1" w:styleId="grantChar">
    <w:name w:val="grant Char"/>
    <w:basedOn w:val="DefaultParagraphFont"/>
    <w:link w:val="grant"/>
    <w:rsid w:val="0087406D"/>
    <w:rPr>
      <w:rFonts w:ascii="Arial" w:hAnsi="Arial" w:cs="Arial"/>
      <w:bCs/>
    </w:rPr>
  </w:style>
  <w:style w:type="paragraph" w:customStyle="1" w:styleId="wpnormal">
    <w:name w:val="wpnormal"/>
    <w:basedOn w:val="Normal"/>
    <w:uiPriority w:val="99"/>
    <w:rsid w:val="0087406D"/>
    <w:pPr>
      <w:spacing w:after="0" w:line="240" w:lineRule="auto"/>
    </w:pPr>
    <w:rPr>
      <w:rFonts w:ascii="New York" w:eastAsia="Times New Roman" w:hAnsi="New York" w:cs="Times New Roman"/>
      <w:sz w:val="24"/>
      <w:szCs w:val="24"/>
    </w:rPr>
  </w:style>
  <w:style w:type="paragraph" w:customStyle="1" w:styleId="FormFieldCaption">
    <w:name w:val="Form Field Caption"/>
    <w:basedOn w:val="Normal"/>
    <w:rsid w:val="0087406D"/>
    <w:pPr>
      <w:autoSpaceDE w:val="0"/>
      <w:autoSpaceDN w:val="0"/>
      <w:spacing w:after="0" w:line="240" w:lineRule="auto"/>
    </w:pPr>
    <w:rPr>
      <w:rFonts w:ascii="Arial" w:hAnsi="Arial" w:cs="Arial"/>
      <w:sz w:val="16"/>
      <w:szCs w:val="16"/>
    </w:rPr>
  </w:style>
  <w:style w:type="character" w:styleId="Hyperlink">
    <w:name w:val="Hyperlink"/>
    <w:basedOn w:val="DefaultParagraphFont"/>
    <w:uiPriority w:val="99"/>
    <w:unhideWhenUsed/>
    <w:rsid w:val="0087406D"/>
    <w:rPr>
      <w:color w:val="0563C1" w:themeColor="hyperlink"/>
      <w:u w:val="single"/>
    </w:rPr>
  </w:style>
  <w:style w:type="paragraph" w:styleId="NormalWeb">
    <w:name w:val="Normal (Web)"/>
    <w:basedOn w:val="Normal"/>
    <w:uiPriority w:val="99"/>
    <w:unhideWhenUsed/>
    <w:rsid w:val="0087406D"/>
    <w:pPr>
      <w:spacing w:before="100" w:beforeAutospacing="1"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406D"/>
    <w:rPr>
      <w:b/>
      <w:bCs/>
    </w:rPr>
  </w:style>
  <w:style w:type="paragraph" w:styleId="ListParagraph">
    <w:name w:val="List Paragraph"/>
    <w:basedOn w:val="Normal"/>
    <w:uiPriority w:val="34"/>
    <w:qFormat/>
    <w:rsid w:val="0087406D"/>
    <w:pPr>
      <w:ind w:left="720"/>
      <w:contextualSpacing/>
    </w:pPr>
  </w:style>
  <w:style w:type="character" w:customStyle="1" w:styleId="markedcontent">
    <w:name w:val="markedcontent"/>
    <w:basedOn w:val="DefaultParagraphFont"/>
    <w:rsid w:val="000D70B1"/>
  </w:style>
  <w:style w:type="character" w:customStyle="1" w:styleId="highlight">
    <w:name w:val="highlight"/>
    <w:basedOn w:val="DefaultParagraphFont"/>
    <w:rsid w:val="000D70B1"/>
  </w:style>
  <w:style w:type="character" w:customStyle="1" w:styleId="normaltextrun">
    <w:name w:val="normaltextrun"/>
    <w:basedOn w:val="DefaultParagraphFont"/>
    <w:rsid w:val="000F66DA"/>
  </w:style>
  <w:style w:type="character" w:customStyle="1" w:styleId="eop">
    <w:name w:val="eop"/>
    <w:basedOn w:val="DefaultParagraphFont"/>
    <w:rsid w:val="000F66DA"/>
  </w:style>
  <w:style w:type="paragraph" w:customStyle="1" w:styleId="paragraph">
    <w:name w:val="paragraph"/>
    <w:basedOn w:val="Normal"/>
    <w:rsid w:val="004F71F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032B6"/>
    <w:rPr>
      <w:sz w:val="16"/>
      <w:szCs w:val="16"/>
    </w:rPr>
  </w:style>
  <w:style w:type="paragraph" w:styleId="CommentText">
    <w:name w:val="annotation text"/>
    <w:basedOn w:val="Normal"/>
    <w:link w:val="CommentTextChar"/>
    <w:uiPriority w:val="99"/>
    <w:unhideWhenUsed/>
    <w:rsid w:val="004032B6"/>
    <w:pPr>
      <w:spacing w:line="240" w:lineRule="auto"/>
    </w:pPr>
    <w:rPr>
      <w:sz w:val="20"/>
      <w:szCs w:val="20"/>
    </w:rPr>
  </w:style>
  <w:style w:type="character" w:customStyle="1" w:styleId="CommentTextChar">
    <w:name w:val="Comment Text Char"/>
    <w:basedOn w:val="DefaultParagraphFont"/>
    <w:link w:val="CommentText"/>
    <w:uiPriority w:val="99"/>
    <w:rsid w:val="004032B6"/>
    <w:rPr>
      <w:sz w:val="20"/>
      <w:szCs w:val="20"/>
    </w:rPr>
  </w:style>
  <w:style w:type="paragraph" w:styleId="CommentSubject">
    <w:name w:val="annotation subject"/>
    <w:basedOn w:val="CommentText"/>
    <w:next w:val="CommentText"/>
    <w:link w:val="CommentSubjectChar"/>
    <w:uiPriority w:val="99"/>
    <w:semiHidden/>
    <w:unhideWhenUsed/>
    <w:rsid w:val="004032B6"/>
    <w:rPr>
      <w:b/>
      <w:bCs/>
    </w:rPr>
  </w:style>
  <w:style w:type="character" w:customStyle="1" w:styleId="CommentSubjectChar">
    <w:name w:val="Comment Subject Char"/>
    <w:basedOn w:val="CommentTextChar"/>
    <w:link w:val="CommentSubject"/>
    <w:uiPriority w:val="99"/>
    <w:semiHidden/>
    <w:rsid w:val="004032B6"/>
    <w:rPr>
      <w:b/>
      <w:bCs/>
      <w:sz w:val="20"/>
      <w:szCs w:val="20"/>
    </w:rPr>
  </w:style>
  <w:style w:type="paragraph" w:customStyle="1" w:styleId="xmsonormal">
    <w:name w:val="x_msonormal"/>
    <w:basedOn w:val="Normal"/>
    <w:rsid w:val="000F0229"/>
    <w:pPr>
      <w:spacing w:after="0" w:line="240" w:lineRule="auto"/>
    </w:pPr>
    <w:rPr>
      <w:rFonts w:ascii="Calibri" w:hAnsi="Calibri" w:cs="Calibri"/>
    </w:rPr>
  </w:style>
  <w:style w:type="character" w:customStyle="1" w:styleId="xcontentpasted0">
    <w:name w:val="x_contentpasted0"/>
    <w:basedOn w:val="DefaultParagraphFont"/>
    <w:rsid w:val="000F0229"/>
  </w:style>
  <w:style w:type="paragraph" w:styleId="BalloonText">
    <w:name w:val="Balloon Text"/>
    <w:basedOn w:val="Normal"/>
    <w:link w:val="BalloonTextChar"/>
    <w:uiPriority w:val="99"/>
    <w:semiHidden/>
    <w:unhideWhenUsed/>
    <w:rsid w:val="00D76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9AA"/>
    <w:rPr>
      <w:rFonts w:ascii="Segoe UI" w:hAnsi="Segoe UI" w:cs="Segoe UI"/>
      <w:sz w:val="18"/>
      <w:szCs w:val="18"/>
    </w:rPr>
  </w:style>
  <w:style w:type="paragraph" w:styleId="Revision">
    <w:name w:val="Revision"/>
    <w:hidden/>
    <w:uiPriority w:val="99"/>
    <w:semiHidden/>
    <w:rsid w:val="00301DAC"/>
    <w:pPr>
      <w:spacing w:after="0" w:line="240" w:lineRule="auto"/>
    </w:pPr>
  </w:style>
  <w:style w:type="character" w:customStyle="1" w:styleId="Heading2Char">
    <w:name w:val="Heading 2 Char"/>
    <w:basedOn w:val="DefaultParagraphFont"/>
    <w:link w:val="Heading2"/>
    <w:uiPriority w:val="9"/>
    <w:semiHidden/>
    <w:rsid w:val="00E16C53"/>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D07C4"/>
    <w:rPr>
      <w:color w:val="605E5C"/>
      <w:shd w:val="clear" w:color="auto" w:fill="E1DFDD"/>
    </w:rPr>
  </w:style>
  <w:style w:type="paragraph" w:customStyle="1" w:styleId="pf0">
    <w:name w:val="pf0"/>
    <w:basedOn w:val="Normal"/>
    <w:rsid w:val="00AA3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A379E"/>
    <w:rPr>
      <w:rFonts w:ascii="Segoe UI" w:hAnsi="Segoe UI" w:cs="Segoe UI" w:hint="default"/>
      <w:sz w:val="18"/>
      <w:szCs w:val="18"/>
    </w:rPr>
  </w:style>
  <w:style w:type="character" w:customStyle="1" w:styleId="cf11">
    <w:name w:val="cf11"/>
    <w:basedOn w:val="DefaultParagraphFont"/>
    <w:rsid w:val="00AA379E"/>
    <w:rPr>
      <w:rFonts w:ascii="Segoe UI" w:hAnsi="Segoe UI" w:cs="Segoe UI" w:hint="default"/>
      <w:sz w:val="18"/>
      <w:szCs w:val="18"/>
      <w:u w:val="single"/>
    </w:rPr>
  </w:style>
  <w:style w:type="paragraph" w:customStyle="1" w:styleId="elementtoproof">
    <w:name w:val="elementtoproof"/>
    <w:basedOn w:val="Normal"/>
    <w:rsid w:val="009B32EA"/>
    <w:pPr>
      <w:spacing w:after="0" w:line="240" w:lineRule="auto"/>
    </w:pPr>
    <w:rPr>
      <w:rFonts w:ascii="Calibri" w:hAnsi="Calibri" w:cs="Calibri"/>
    </w:rPr>
  </w:style>
  <w:style w:type="paragraph" w:styleId="NoSpacing">
    <w:name w:val="No Spacing"/>
    <w:uiPriority w:val="1"/>
    <w:qFormat/>
    <w:rsid w:val="00ED1C70"/>
    <w:pPr>
      <w:spacing w:after="0" w:line="240" w:lineRule="auto"/>
    </w:pPr>
  </w:style>
  <w:style w:type="paragraph" w:styleId="HTMLPreformatted">
    <w:name w:val="HTML Preformatted"/>
    <w:basedOn w:val="Normal"/>
    <w:link w:val="HTMLPreformattedChar"/>
    <w:uiPriority w:val="99"/>
    <w:semiHidden/>
    <w:unhideWhenUsed/>
    <w:rsid w:val="00015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53D5"/>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E816F5"/>
    <w:rPr>
      <w:color w:val="605E5C"/>
      <w:shd w:val="clear" w:color="auto" w:fill="E1DFDD"/>
    </w:rPr>
  </w:style>
  <w:style w:type="paragraph" w:customStyle="1" w:styleId="DataField11pt-Single">
    <w:name w:val="Data Field 11pt-Single"/>
    <w:basedOn w:val="Normal"/>
    <w:link w:val="DataField11pt-SingleChar"/>
    <w:rsid w:val="008A76BE"/>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8A76BE"/>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50">
      <w:bodyDiv w:val="1"/>
      <w:marLeft w:val="0"/>
      <w:marRight w:val="0"/>
      <w:marTop w:val="0"/>
      <w:marBottom w:val="0"/>
      <w:divBdr>
        <w:top w:val="none" w:sz="0" w:space="0" w:color="auto"/>
        <w:left w:val="none" w:sz="0" w:space="0" w:color="auto"/>
        <w:bottom w:val="none" w:sz="0" w:space="0" w:color="auto"/>
        <w:right w:val="none" w:sz="0" w:space="0" w:color="auto"/>
      </w:divBdr>
    </w:div>
    <w:div w:id="34933773">
      <w:bodyDiv w:val="1"/>
      <w:marLeft w:val="0"/>
      <w:marRight w:val="0"/>
      <w:marTop w:val="0"/>
      <w:marBottom w:val="0"/>
      <w:divBdr>
        <w:top w:val="none" w:sz="0" w:space="0" w:color="auto"/>
        <w:left w:val="none" w:sz="0" w:space="0" w:color="auto"/>
        <w:bottom w:val="none" w:sz="0" w:space="0" w:color="auto"/>
        <w:right w:val="none" w:sz="0" w:space="0" w:color="auto"/>
      </w:divBdr>
    </w:div>
    <w:div w:id="63989626">
      <w:bodyDiv w:val="1"/>
      <w:marLeft w:val="0"/>
      <w:marRight w:val="0"/>
      <w:marTop w:val="0"/>
      <w:marBottom w:val="0"/>
      <w:divBdr>
        <w:top w:val="none" w:sz="0" w:space="0" w:color="auto"/>
        <w:left w:val="none" w:sz="0" w:space="0" w:color="auto"/>
        <w:bottom w:val="none" w:sz="0" w:space="0" w:color="auto"/>
        <w:right w:val="none" w:sz="0" w:space="0" w:color="auto"/>
      </w:divBdr>
      <w:divsChild>
        <w:div w:id="1024597661">
          <w:marLeft w:val="0"/>
          <w:marRight w:val="0"/>
          <w:marTop w:val="0"/>
          <w:marBottom w:val="0"/>
          <w:divBdr>
            <w:top w:val="none" w:sz="0" w:space="0" w:color="auto"/>
            <w:left w:val="none" w:sz="0" w:space="0" w:color="auto"/>
            <w:bottom w:val="none" w:sz="0" w:space="0" w:color="auto"/>
            <w:right w:val="none" w:sz="0" w:space="0" w:color="auto"/>
          </w:divBdr>
        </w:div>
      </w:divsChild>
    </w:div>
    <w:div w:id="127092908">
      <w:bodyDiv w:val="1"/>
      <w:marLeft w:val="0"/>
      <w:marRight w:val="0"/>
      <w:marTop w:val="0"/>
      <w:marBottom w:val="0"/>
      <w:divBdr>
        <w:top w:val="none" w:sz="0" w:space="0" w:color="auto"/>
        <w:left w:val="none" w:sz="0" w:space="0" w:color="auto"/>
        <w:bottom w:val="none" w:sz="0" w:space="0" w:color="auto"/>
        <w:right w:val="none" w:sz="0" w:space="0" w:color="auto"/>
      </w:divBdr>
      <w:divsChild>
        <w:div w:id="52971284">
          <w:marLeft w:val="0"/>
          <w:marRight w:val="0"/>
          <w:marTop w:val="0"/>
          <w:marBottom w:val="0"/>
          <w:divBdr>
            <w:top w:val="none" w:sz="0" w:space="0" w:color="auto"/>
            <w:left w:val="none" w:sz="0" w:space="0" w:color="auto"/>
            <w:bottom w:val="none" w:sz="0" w:space="0" w:color="auto"/>
            <w:right w:val="none" w:sz="0" w:space="0" w:color="auto"/>
          </w:divBdr>
        </w:div>
        <w:div w:id="506099116">
          <w:marLeft w:val="0"/>
          <w:marRight w:val="0"/>
          <w:marTop w:val="0"/>
          <w:marBottom w:val="0"/>
          <w:divBdr>
            <w:top w:val="none" w:sz="0" w:space="0" w:color="auto"/>
            <w:left w:val="none" w:sz="0" w:space="0" w:color="auto"/>
            <w:bottom w:val="none" w:sz="0" w:space="0" w:color="auto"/>
            <w:right w:val="none" w:sz="0" w:space="0" w:color="auto"/>
          </w:divBdr>
        </w:div>
        <w:div w:id="727076710">
          <w:marLeft w:val="0"/>
          <w:marRight w:val="0"/>
          <w:marTop w:val="0"/>
          <w:marBottom w:val="0"/>
          <w:divBdr>
            <w:top w:val="none" w:sz="0" w:space="0" w:color="auto"/>
            <w:left w:val="none" w:sz="0" w:space="0" w:color="auto"/>
            <w:bottom w:val="none" w:sz="0" w:space="0" w:color="auto"/>
            <w:right w:val="none" w:sz="0" w:space="0" w:color="auto"/>
          </w:divBdr>
        </w:div>
        <w:div w:id="930814995">
          <w:marLeft w:val="0"/>
          <w:marRight w:val="0"/>
          <w:marTop w:val="0"/>
          <w:marBottom w:val="0"/>
          <w:divBdr>
            <w:top w:val="none" w:sz="0" w:space="0" w:color="auto"/>
            <w:left w:val="none" w:sz="0" w:space="0" w:color="auto"/>
            <w:bottom w:val="none" w:sz="0" w:space="0" w:color="auto"/>
            <w:right w:val="none" w:sz="0" w:space="0" w:color="auto"/>
          </w:divBdr>
        </w:div>
        <w:div w:id="1134829925">
          <w:marLeft w:val="0"/>
          <w:marRight w:val="0"/>
          <w:marTop w:val="0"/>
          <w:marBottom w:val="0"/>
          <w:divBdr>
            <w:top w:val="none" w:sz="0" w:space="0" w:color="auto"/>
            <w:left w:val="none" w:sz="0" w:space="0" w:color="auto"/>
            <w:bottom w:val="none" w:sz="0" w:space="0" w:color="auto"/>
            <w:right w:val="none" w:sz="0" w:space="0" w:color="auto"/>
          </w:divBdr>
        </w:div>
        <w:div w:id="1481462963">
          <w:marLeft w:val="0"/>
          <w:marRight w:val="0"/>
          <w:marTop w:val="0"/>
          <w:marBottom w:val="0"/>
          <w:divBdr>
            <w:top w:val="none" w:sz="0" w:space="0" w:color="auto"/>
            <w:left w:val="none" w:sz="0" w:space="0" w:color="auto"/>
            <w:bottom w:val="none" w:sz="0" w:space="0" w:color="auto"/>
            <w:right w:val="none" w:sz="0" w:space="0" w:color="auto"/>
          </w:divBdr>
        </w:div>
        <w:div w:id="1547374334">
          <w:marLeft w:val="0"/>
          <w:marRight w:val="0"/>
          <w:marTop w:val="0"/>
          <w:marBottom w:val="0"/>
          <w:divBdr>
            <w:top w:val="none" w:sz="0" w:space="0" w:color="auto"/>
            <w:left w:val="none" w:sz="0" w:space="0" w:color="auto"/>
            <w:bottom w:val="none" w:sz="0" w:space="0" w:color="auto"/>
            <w:right w:val="none" w:sz="0" w:space="0" w:color="auto"/>
          </w:divBdr>
        </w:div>
        <w:div w:id="1708487419">
          <w:marLeft w:val="0"/>
          <w:marRight w:val="0"/>
          <w:marTop w:val="0"/>
          <w:marBottom w:val="0"/>
          <w:divBdr>
            <w:top w:val="none" w:sz="0" w:space="0" w:color="auto"/>
            <w:left w:val="none" w:sz="0" w:space="0" w:color="auto"/>
            <w:bottom w:val="none" w:sz="0" w:space="0" w:color="auto"/>
            <w:right w:val="none" w:sz="0" w:space="0" w:color="auto"/>
          </w:divBdr>
        </w:div>
        <w:div w:id="1735666044">
          <w:marLeft w:val="0"/>
          <w:marRight w:val="0"/>
          <w:marTop w:val="0"/>
          <w:marBottom w:val="0"/>
          <w:divBdr>
            <w:top w:val="none" w:sz="0" w:space="0" w:color="auto"/>
            <w:left w:val="none" w:sz="0" w:space="0" w:color="auto"/>
            <w:bottom w:val="none" w:sz="0" w:space="0" w:color="auto"/>
            <w:right w:val="none" w:sz="0" w:space="0" w:color="auto"/>
          </w:divBdr>
        </w:div>
      </w:divsChild>
    </w:div>
    <w:div w:id="129247096">
      <w:bodyDiv w:val="1"/>
      <w:marLeft w:val="0"/>
      <w:marRight w:val="0"/>
      <w:marTop w:val="0"/>
      <w:marBottom w:val="0"/>
      <w:divBdr>
        <w:top w:val="none" w:sz="0" w:space="0" w:color="auto"/>
        <w:left w:val="none" w:sz="0" w:space="0" w:color="auto"/>
        <w:bottom w:val="none" w:sz="0" w:space="0" w:color="auto"/>
        <w:right w:val="none" w:sz="0" w:space="0" w:color="auto"/>
      </w:divBdr>
      <w:divsChild>
        <w:div w:id="1656714702">
          <w:marLeft w:val="0"/>
          <w:marRight w:val="0"/>
          <w:marTop w:val="0"/>
          <w:marBottom w:val="0"/>
          <w:divBdr>
            <w:top w:val="none" w:sz="0" w:space="0" w:color="auto"/>
            <w:left w:val="none" w:sz="0" w:space="0" w:color="auto"/>
            <w:bottom w:val="none" w:sz="0" w:space="0" w:color="auto"/>
            <w:right w:val="none" w:sz="0" w:space="0" w:color="auto"/>
          </w:divBdr>
        </w:div>
      </w:divsChild>
    </w:div>
    <w:div w:id="162741872">
      <w:bodyDiv w:val="1"/>
      <w:marLeft w:val="0"/>
      <w:marRight w:val="0"/>
      <w:marTop w:val="0"/>
      <w:marBottom w:val="0"/>
      <w:divBdr>
        <w:top w:val="none" w:sz="0" w:space="0" w:color="auto"/>
        <w:left w:val="none" w:sz="0" w:space="0" w:color="auto"/>
        <w:bottom w:val="none" w:sz="0" w:space="0" w:color="auto"/>
        <w:right w:val="none" w:sz="0" w:space="0" w:color="auto"/>
      </w:divBdr>
    </w:div>
    <w:div w:id="221913588">
      <w:bodyDiv w:val="1"/>
      <w:marLeft w:val="0"/>
      <w:marRight w:val="0"/>
      <w:marTop w:val="0"/>
      <w:marBottom w:val="0"/>
      <w:divBdr>
        <w:top w:val="none" w:sz="0" w:space="0" w:color="auto"/>
        <w:left w:val="none" w:sz="0" w:space="0" w:color="auto"/>
        <w:bottom w:val="none" w:sz="0" w:space="0" w:color="auto"/>
        <w:right w:val="none" w:sz="0" w:space="0" w:color="auto"/>
      </w:divBdr>
    </w:div>
    <w:div w:id="260795305">
      <w:bodyDiv w:val="1"/>
      <w:marLeft w:val="0"/>
      <w:marRight w:val="0"/>
      <w:marTop w:val="0"/>
      <w:marBottom w:val="0"/>
      <w:divBdr>
        <w:top w:val="none" w:sz="0" w:space="0" w:color="auto"/>
        <w:left w:val="none" w:sz="0" w:space="0" w:color="auto"/>
        <w:bottom w:val="none" w:sz="0" w:space="0" w:color="auto"/>
        <w:right w:val="none" w:sz="0" w:space="0" w:color="auto"/>
      </w:divBdr>
    </w:div>
    <w:div w:id="268778994">
      <w:bodyDiv w:val="1"/>
      <w:marLeft w:val="0"/>
      <w:marRight w:val="0"/>
      <w:marTop w:val="0"/>
      <w:marBottom w:val="0"/>
      <w:divBdr>
        <w:top w:val="none" w:sz="0" w:space="0" w:color="auto"/>
        <w:left w:val="none" w:sz="0" w:space="0" w:color="auto"/>
        <w:bottom w:val="none" w:sz="0" w:space="0" w:color="auto"/>
        <w:right w:val="none" w:sz="0" w:space="0" w:color="auto"/>
      </w:divBdr>
    </w:div>
    <w:div w:id="276765971">
      <w:bodyDiv w:val="1"/>
      <w:marLeft w:val="0"/>
      <w:marRight w:val="0"/>
      <w:marTop w:val="0"/>
      <w:marBottom w:val="0"/>
      <w:divBdr>
        <w:top w:val="none" w:sz="0" w:space="0" w:color="auto"/>
        <w:left w:val="none" w:sz="0" w:space="0" w:color="auto"/>
        <w:bottom w:val="none" w:sz="0" w:space="0" w:color="auto"/>
        <w:right w:val="none" w:sz="0" w:space="0" w:color="auto"/>
      </w:divBdr>
      <w:divsChild>
        <w:div w:id="326828526">
          <w:marLeft w:val="0"/>
          <w:marRight w:val="0"/>
          <w:marTop w:val="0"/>
          <w:marBottom w:val="0"/>
          <w:divBdr>
            <w:top w:val="none" w:sz="0" w:space="0" w:color="auto"/>
            <w:left w:val="none" w:sz="0" w:space="0" w:color="auto"/>
            <w:bottom w:val="none" w:sz="0" w:space="0" w:color="auto"/>
            <w:right w:val="none" w:sz="0" w:space="0" w:color="auto"/>
          </w:divBdr>
        </w:div>
        <w:div w:id="994720956">
          <w:marLeft w:val="0"/>
          <w:marRight w:val="0"/>
          <w:marTop w:val="0"/>
          <w:marBottom w:val="0"/>
          <w:divBdr>
            <w:top w:val="none" w:sz="0" w:space="0" w:color="auto"/>
            <w:left w:val="none" w:sz="0" w:space="0" w:color="auto"/>
            <w:bottom w:val="none" w:sz="0" w:space="0" w:color="auto"/>
            <w:right w:val="none" w:sz="0" w:space="0" w:color="auto"/>
          </w:divBdr>
        </w:div>
      </w:divsChild>
    </w:div>
    <w:div w:id="322439751">
      <w:bodyDiv w:val="1"/>
      <w:marLeft w:val="0"/>
      <w:marRight w:val="0"/>
      <w:marTop w:val="0"/>
      <w:marBottom w:val="0"/>
      <w:divBdr>
        <w:top w:val="none" w:sz="0" w:space="0" w:color="auto"/>
        <w:left w:val="none" w:sz="0" w:space="0" w:color="auto"/>
        <w:bottom w:val="none" w:sz="0" w:space="0" w:color="auto"/>
        <w:right w:val="none" w:sz="0" w:space="0" w:color="auto"/>
      </w:divBdr>
    </w:div>
    <w:div w:id="344285685">
      <w:bodyDiv w:val="1"/>
      <w:marLeft w:val="0"/>
      <w:marRight w:val="0"/>
      <w:marTop w:val="0"/>
      <w:marBottom w:val="0"/>
      <w:divBdr>
        <w:top w:val="none" w:sz="0" w:space="0" w:color="auto"/>
        <w:left w:val="none" w:sz="0" w:space="0" w:color="auto"/>
        <w:bottom w:val="none" w:sz="0" w:space="0" w:color="auto"/>
        <w:right w:val="none" w:sz="0" w:space="0" w:color="auto"/>
      </w:divBdr>
    </w:div>
    <w:div w:id="403069366">
      <w:bodyDiv w:val="1"/>
      <w:marLeft w:val="0"/>
      <w:marRight w:val="0"/>
      <w:marTop w:val="0"/>
      <w:marBottom w:val="0"/>
      <w:divBdr>
        <w:top w:val="none" w:sz="0" w:space="0" w:color="auto"/>
        <w:left w:val="none" w:sz="0" w:space="0" w:color="auto"/>
        <w:bottom w:val="none" w:sz="0" w:space="0" w:color="auto"/>
        <w:right w:val="none" w:sz="0" w:space="0" w:color="auto"/>
      </w:divBdr>
    </w:div>
    <w:div w:id="418409442">
      <w:bodyDiv w:val="1"/>
      <w:marLeft w:val="0"/>
      <w:marRight w:val="0"/>
      <w:marTop w:val="0"/>
      <w:marBottom w:val="0"/>
      <w:divBdr>
        <w:top w:val="none" w:sz="0" w:space="0" w:color="auto"/>
        <w:left w:val="none" w:sz="0" w:space="0" w:color="auto"/>
        <w:bottom w:val="none" w:sz="0" w:space="0" w:color="auto"/>
        <w:right w:val="none" w:sz="0" w:space="0" w:color="auto"/>
      </w:divBdr>
    </w:div>
    <w:div w:id="439494691">
      <w:bodyDiv w:val="1"/>
      <w:marLeft w:val="0"/>
      <w:marRight w:val="0"/>
      <w:marTop w:val="0"/>
      <w:marBottom w:val="0"/>
      <w:divBdr>
        <w:top w:val="none" w:sz="0" w:space="0" w:color="auto"/>
        <w:left w:val="none" w:sz="0" w:space="0" w:color="auto"/>
        <w:bottom w:val="none" w:sz="0" w:space="0" w:color="auto"/>
        <w:right w:val="none" w:sz="0" w:space="0" w:color="auto"/>
      </w:divBdr>
      <w:divsChild>
        <w:div w:id="85201438">
          <w:marLeft w:val="0"/>
          <w:marRight w:val="0"/>
          <w:marTop w:val="0"/>
          <w:marBottom w:val="0"/>
          <w:divBdr>
            <w:top w:val="none" w:sz="0" w:space="0" w:color="auto"/>
            <w:left w:val="none" w:sz="0" w:space="0" w:color="auto"/>
            <w:bottom w:val="none" w:sz="0" w:space="0" w:color="auto"/>
            <w:right w:val="none" w:sz="0" w:space="0" w:color="auto"/>
          </w:divBdr>
        </w:div>
        <w:div w:id="558438135">
          <w:marLeft w:val="0"/>
          <w:marRight w:val="0"/>
          <w:marTop w:val="0"/>
          <w:marBottom w:val="0"/>
          <w:divBdr>
            <w:top w:val="none" w:sz="0" w:space="0" w:color="auto"/>
            <w:left w:val="none" w:sz="0" w:space="0" w:color="auto"/>
            <w:bottom w:val="none" w:sz="0" w:space="0" w:color="auto"/>
            <w:right w:val="none" w:sz="0" w:space="0" w:color="auto"/>
          </w:divBdr>
        </w:div>
        <w:div w:id="575285439">
          <w:marLeft w:val="0"/>
          <w:marRight w:val="0"/>
          <w:marTop w:val="0"/>
          <w:marBottom w:val="0"/>
          <w:divBdr>
            <w:top w:val="none" w:sz="0" w:space="0" w:color="auto"/>
            <w:left w:val="none" w:sz="0" w:space="0" w:color="auto"/>
            <w:bottom w:val="none" w:sz="0" w:space="0" w:color="auto"/>
            <w:right w:val="none" w:sz="0" w:space="0" w:color="auto"/>
          </w:divBdr>
        </w:div>
        <w:div w:id="705717534">
          <w:marLeft w:val="0"/>
          <w:marRight w:val="0"/>
          <w:marTop w:val="0"/>
          <w:marBottom w:val="0"/>
          <w:divBdr>
            <w:top w:val="none" w:sz="0" w:space="0" w:color="auto"/>
            <w:left w:val="none" w:sz="0" w:space="0" w:color="auto"/>
            <w:bottom w:val="none" w:sz="0" w:space="0" w:color="auto"/>
            <w:right w:val="none" w:sz="0" w:space="0" w:color="auto"/>
          </w:divBdr>
        </w:div>
        <w:div w:id="1600064780">
          <w:marLeft w:val="0"/>
          <w:marRight w:val="0"/>
          <w:marTop w:val="0"/>
          <w:marBottom w:val="0"/>
          <w:divBdr>
            <w:top w:val="none" w:sz="0" w:space="0" w:color="auto"/>
            <w:left w:val="none" w:sz="0" w:space="0" w:color="auto"/>
            <w:bottom w:val="none" w:sz="0" w:space="0" w:color="auto"/>
            <w:right w:val="none" w:sz="0" w:space="0" w:color="auto"/>
          </w:divBdr>
        </w:div>
      </w:divsChild>
    </w:div>
    <w:div w:id="482936181">
      <w:bodyDiv w:val="1"/>
      <w:marLeft w:val="0"/>
      <w:marRight w:val="0"/>
      <w:marTop w:val="0"/>
      <w:marBottom w:val="0"/>
      <w:divBdr>
        <w:top w:val="none" w:sz="0" w:space="0" w:color="auto"/>
        <w:left w:val="none" w:sz="0" w:space="0" w:color="auto"/>
        <w:bottom w:val="none" w:sz="0" w:space="0" w:color="auto"/>
        <w:right w:val="none" w:sz="0" w:space="0" w:color="auto"/>
      </w:divBdr>
    </w:div>
    <w:div w:id="491527379">
      <w:bodyDiv w:val="1"/>
      <w:marLeft w:val="0"/>
      <w:marRight w:val="0"/>
      <w:marTop w:val="0"/>
      <w:marBottom w:val="0"/>
      <w:divBdr>
        <w:top w:val="none" w:sz="0" w:space="0" w:color="auto"/>
        <w:left w:val="none" w:sz="0" w:space="0" w:color="auto"/>
        <w:bottom w:val="none" w:sz="0" w:space="0" w:color="auto"/>
        <w:right w:val="none" w:sz="0" w:space="0" w:color="auto"/>
      </w:divBdr>
    </w:div>
    <w:div w:id="531918418">
      <w:bodyDiv w:val="1"/>
      <w:marLeft w:val="0"/>
      <w:marRight w:val="0"/>
      <w:marTop w:val="0"/>
      <w:marBottom w:val="0"/>
      <w:divBdr>
        <w:top w:val="none" w:sz="0" w:space="0" w:color="auto"/>
        <w:left w:val="none" w:sz="0" w:space="0" w:color="auto"/>
        <w:bottom w:val="none" w:sz="0" w:space="0" w:color="auto"/>
        <w:right w:val="none" w:sz="0" w:space="0" w:color="auto"/>
      </w:divBdr>
    </w:div>
    <w:div w:id="585767312">
      <w:bodyDiv w:val="1"/>
      <w:marLeft w:val="0"/>
      <w:marRight w:val="0"/>
      <w:marTop w:val="0"/>
      <w:marBottom w:val="0"/>
      <w:divBdr>
        <w:top w:val="none" w:sz="0" w:space="0" w:color="auto"/>
        <w:left w:val="none" w:sz="0" w:space="0" w:color="auto"/>
        <w:bottom w:val="none" w:sz="0" w:space="0" w:color="auto"/>
        <w:right w:val="none" w:sz="0" w:space="0" w:color="auto"/>
      </w:divBdr>
    </w:div>
    <w:div w:id="592978795">
      <w:bodyDiv w:val="1"/>
      <w:marLeft w:val="0"/>
      <w:marRight w:val="0"/>
      <w:marTop w:val="0"/>
      <w:marBottom w:val="0"/>
      <w:divBdr>
        <w:top w:val="none" w:sz="0" w:space="0" w:color="auto"/>
        <w:left w:val="none" w:sz="0" w:space="0" w:color="auto"/>
        <w:bottom w:val="none" w:sz="0" w:space="0" w:color="auto"/>
        <w:right w:val="none" w:sz="0" w:space="0" w:color="auto"/>
      </w:divBdr>
    </w:div>
    <w:div w:id="600572346">
      <w:bodyDiv w:val="1"/>
      <w:marLeft w:val="0"/>
      <w:marRight w:val="0"/>
      <w:marTop w:val="0"/>
      <w:marBottom w:val="0"/>
      <w:divBdr>
        <w:top w:val="none" w:sz="0" w:space="0" w:color="auto"/>
        <w:left w:val="none" w:sz="0" w:space="0" w:color="auto"/>
        <w:bottom w:val="none" w:sz="0" w:space="0" w:color="auto"/>
        <w:right w:val="none" w:sz="0" w:space="0" w:color="auto"/>
      </w:divBdr>
    </w:div>
    <w:div w:id="650867156">
      <w:bodyDiv w:val="1"/>
      <w:marLeft w:val="0"/>
      <w:marRight w:val="0"/>
      <w:marTop w:val="0"/>
      <w:marBottom w:val="0"/>
      <w:divBdr>
        <w:top w:val="none" w:sz="0" w:space="0" w:color="auto"/>
        <w:left w:val="none" w:sz="0" w:space="0" w:color="auto"/>
        <w:bottom w:val="none" w:sz="0" w:space="0" w:color="auto"/>
        <w:right w:val="none" w:sz="0" w:space="0" w:color="auto"/>
      </w:divBdr>
    </w:div>
    <w:div w:id="807675022">
      <w:bodyDiv w:val="1"/>
      <w:marLeft w:val="0"/>
      <w:marRight w:val="0"/>
      <w:marTop w:val="0"/>
      <w:marBottom w:val="0"/>
      <w:divBdr>
        <w:top w:val="none" w:sz="0" w:space="0" w:color="auto"/>
        <w:left w:val="none" w:sz="0" w:space="0" w:color="auto"/>
        <w:bottom w:val="none" w:sz="0" w:space="0" w:color="auto"/>
        <w:right w:val="none" w:sz="0" w:space="0" w:color="auto"/>
      </w:divBdr>
    </w:div>
    <w:div w:id="848058114">
      <w:bodyDiv w:val="1"/>
      <w:marLeft w:val="0"/>
      <w:marRight w:val="0"/>
      <w:marTop w:val="0"/>
      <w:marBottom w:val="0"/>
      <w:divBdr>
        <w:top w:val="none" w:sz="0" w:space="0" w:color="auto"/>
        <w:left w:val="none" w:sz="0" w:space="0" w:color="auto"/>
        <w:bottom w:val="none" w:sz="0" w:space="0" w:color="auto"/>
        <w:right w:val="none" w:sz="0" w:space="0" w:color="auto"/>
      </w:divBdr>
      <w:divsChild>
        <w:div w:id="20980142">
          <w:marLeft w:val="0"/>
          <w:marRight w:val="0"/>
          <w:marTop w:val="0"/>
          <w:marBottom w:val="0"/>
          <w:divBdr>
            <w:top w:val="none" w:sz="0" w:space="0" w:color="auto"/>
            <w:left w:val="none" w:sz="0" w:space="0" w:color="auto"/>
            <w:bottom w:val="none" w:sz="0" w:space="0" w:color="auto"/>
            <w:right w:val="none" w:sz="0" w:space="0" w:color="auto"/>
          </w:divBdr>
          <w:divsChild>
            <w:div w:id="2024092112">
              <w:marLeft w:val="0"/>
              <w:marRight w:val="0"/>
              <w:marTop w:val="0"/>
              <w:marBottom w:val="0"/>
              <w:divBdr>
                <w:top w:val="none" w:sz="0" w:space="0" w:color="auto"/>
                <w:left w:val="none" w:sz="0" w:space="0" w:color="auto"/>
                <w:bottom w:val="none" w:sz="0" w:space="0" w:color="auto"/>
                <w:right w:val="none" w:sz="0" w:space="0" w:color="auto"/>
              </w:divBdr>
            </w:div>
          </w:divsChild>
        </w:div>
        <w:div w:id="1883399892">
          <w:marLeft w:val="0"/>
          <w:marRight w:val="0"/>
          <w:marTop w:val="0"/>
          <w:marBottom w:val="0"/>
          <w:divBdr>
            <w:top w:val="none" w:sz="0" w:space="0" w:color="auto"/>
            <w:left w:val="none" w:sz="0" w:space="0" w:color="auto"/>
            <w:bottom w:val="none" w:sz="0" w:space="0" w:color="auto"/>
            <w:right w:val="none" w:sz="0" w:space="0" w:color="auto"/>
          </w:divBdr>
        </w:div>
      </w:divsChild>
    </w:div>
    <w:div w:id="873998644">
      <w:bodyDiv w:val="1"/>
      <w:marLeft w:val="0"/>
      <w:marRight w:val="0"/>
      <w:marTop w:val="0"/>
      <w:marBottom w:val="0"/>
      <w:divBdr>
        <w:top w:val="none" w:sz="0" w:space="0" w:color="auto"/>
        <w:left w:val="none" w:sz="0" w:space="0" w:color="auto"/>
        <w:bottom w:val="none" w:sz="0" w:space="0" w:color="auto"/>
        <w:right w:val="none" w:sz="0" w:space="0" w:color="auto"/>
      </w:divBdr>
    </w:div>
    <w:div w:id="937953107">
      <w:bodyDiv w:val="1"/>
      <w:marLeft w:val="0"/>
      <w:marRight w:val="0"/>
      <w:marTop w:val="0"/>
      <w:marBottom w:val="0"/>
      <w:divBdr>
        <w:top w:val="none" w:sz="0" w:space="0" w:color="auto"/>
        <w:left w:val="none" w:sz="0" w:space="0" w:color="auto"/>
        <w:bottom w:val="none" w:sz="0" w:space="0" w:color="auto"/>
        <w:right w:val="none" w:sz="0" w:space="0" w:color="auto"/>
      </w:divBdr>
    </w:div>
    <w:div w:id="949170094">
      <w:bodyDiv w:val="1"/>
      <w:marLeft w:val="0"/>
      <w:marRight w:val="0"/>
      <w:marTop w:val="0"/>
      <w:marBottom w:val="0"/>
      <w:divBdr>
        <w:top w:val="none" w:sz="0" w:space="0" w:color="auto"/>
        <w:left w:val="none" w:sz="0" w:space="0" w:color="auto"/>
        <w:bottom w:val="none" w:sz="0" w:space="0" w:color="auto"/>
        <w:right w:val="none" w:sz="0" w:space="0" w:color="auto"/>
      </w:divBdr>
    </w:div>
    <w:div w:id="969016084">
      <w:bodyDiv w:val="1"/>
      <w:marLeft w:val="0"/>
      <w:marRight w:val="0"/>
      <w:marTop w:val="0"/>
      <w:marBottom w:val="0"/>
      <w:divBdr>
        <w:top w:val="none" w:sz="0" w:space="0" w:color="auto"/>
        <w:left w:val="none" w:sz="0" w:space="0" w:color="auto"/>
        <w:bottom w:val="none" w:sz="0" w:space="0" w:color="auto"/>
        <w:right w:val="none" w:sz="0" w:space="0" w:color="auto"/>
      </w:divBdr>
    </w:div>
    <w:div w:id="1028264691">
      <w:bodyDiv w:val="1"/>
      <w:marLeft w:val="0"/>
      <w:marRight w:val="0"/>
      <w:marTop w:val="0"/>
      <w:marBottom w:val="0"/>
      <w:divBdr>
        <w:top w:val="none" w:sz="0" w:space="0" w:color="auto"/>
        <w:left w:val="none" w:sz="0" w:space="0" w:color="auto"/>
        <w:bottom w:val="none" w:sz="0" w:space="0" w:color="auto"/>
        <w:right w:val="none" w:sz="0" w:space="0" w:color="auto"/>
      </w:divBdr>
      <w:divsChild>
        <w:div w:id="376397723">
          <w:marLeft w:val="0"/>
          <w:marRight w:val="0"/>
          <w:marTop w:val="0"/>
          <w:marBottom w:val="0"/>
          <w:divBdr>
            <w:top w:val="none" w:sz="0" w:space="0" w:color="auto"/>
            <w:left w:val="none" w:sz="0" w:space="0" w:color="auto"/>
            <w:bottom w:val="none" w:sz="0" w:space="0" w:color="auto"/>
            <w:right w:val="none" w:sz="0" w:space="0" w:color="auto"/>
          </w:divBdr>
        </w:div>
        <w:div w:id="401028978">
          <w:marLeft w:val="0"/>
          <w:marRight w:val="0"/>
          <w:marTop w:val="0"/>
          <w:marBottom w:val="0"/>
          <w:divBdr>
            <w:top w:val="none" w:sz="0" w:space="0" w:color="auto"/>
            <w:left w:val="none" w:sz="0" w:space="0" w:color="auto"/>
            <w:bottom w:val="none" w:sz="0" w:space="0" w:color="auto"/>
            <w:right w:val="none" w:sz="0" w:space="0" w:color="auto"/>
          </w:divBdr>
        </w:div>
        <w:div w:id="814833572">
          <w:marLeft w:val="0"/>
          <w:marRight w:val="0"/>
          <w:marTop w:val="0"/>
          <w:marBottom w:val="0"/>
          <w:divBdr>
            <w:top w:val="none" w:sz="0" w:space="0" w:color="auto"/>
            <w:left w:val="none" w:sz="0" w:space="0" w:color="auto"/>
            <w:bottom w:val="none" w:sz="0" w:space="0" w:color="auto"/>
            <w:right w:val="none" w:sz="0" w:space="0" w:color="auto"/>
          </w:divBdr>
        </w:div>
        <w:div w:id="1959603039">
          <w:marLeft w:val="0"/>
          <w:marRight w:val="0"/>
          <w:marTop w:val="0"/>
          <w:marBottom w:val="0"/>
          <w:divBdr>
            <w:top w:val="none" w:sz="0" w:space="0" w:color="auto"/>
            <w:left w:val="none" w:sz="0" w:space="0" w:color="auto"/>
            <w:bottom w:val="none" w:sz="0" w:space="0" w:color="auto"/>
            <w:right w:val="none" w:sz="0" w:space="0" w:color="auto"/>
          </w:divBdr>
        </w:div>
        <w:div w:id="2026594812">
          <w:marLeft w:val="0"/>
          <w:marRight w:val="0"/>
          <w:marTop w:val="0"/>
          <w:marBottom w:val="0"/>
          <w:divBdr>
            <w:top w:val="none" w:sz="0" w:space="0" w:color="auto"/>
            <w:left w:val="none" w:sz="0" w:space="0" w:color="auto"/>
            <w:bottom w:val="none" w:sz="0" w:space="0" w:color="auto"/>
            <w:right w:val="none" w:sz="0" w:space="0" w:color="auto"/>
          </w:divBdr>
        </w:div>
      </w:divsChild>
    </w:div>
    <w:div w:id="1076630897">
      <w:bodyDiv w:val="1"/>
      <w:marLeft w:val="0"/>
      <w:marRight w:val="0"/>
      <w:marTop w:val="0"/>
      <w:marBottom w:val="0"/>
      <w:divBdr>
        <w:top w:val="none" w:sz="0" w:space="0" w:color="auto"/>
        <w:left w:val="none" w:sz="0" w:space="0" w:color="auto"/>
        <w:bottom w:val="none" w:sz="0" w:space="0" w:color="auto"/>
        <w:right w:val="none" w:sz="0" w:space="0" w:color="auto"/>
      </w:divBdr>
    </w:div>
    <w:div w:id="1082797588">
      <w:bodyDiv w:val="1"/>
      <w:marLeft w:val="0"/>
      <w:marRight w:val="0"/>
      <w:marTop w:val="0"/>
      <w:marBottom w:val="0"/>
      <w:divBdr>
        <w:top w:val="none" w:sz="0" w:space="0" w:color="auto"/>
        <w:left w:val="none" w:sz="0" w:space="0" w:color="auto"/>
        <w:bottom w:val="none" w:sz="0" w:space="0" w:color="auto"/>
        <w:right w:val="none" w:sz="0" w:space="0" w:color="auto"/>
      </w:divBdr>
    </w:div>
    <w:div w:id="1090085484">
      <w:bodyDiv w:val="1"/>
      <w:marLeft w:val="0"/>
      <w:marRight w:val="0"/>
      <w:marTop w:val="0"/>
      <w:marBottom w:val="0"/>
      <w:divBdr>
        <w:top w:val="none" w:sz="0" w:space="0" w:color="auto"/>
        <w:left w:val="none" w:sz="0" w:space="0" w:color="auto"/>
        <w:bottom w:val="none" w:sz="0" w:space="0" w:color="auto"/>
        <w:right w:val="none" w:sz="0" w:space="0" w:color="auto"/>
      </w:divBdr>
    </w:div>
    <w:div w:id="1227885984">
      <w:bodyDiv w:val="1"/>
      <w:marLeft w:val="0"/>
      <w:marRight w:val="0"/>
      <w:marTop w:val="0"/>
      <w:marBottom w:val="0"/>
      <w:divBdr>
        <w:top w:val="none" w:sz="0" w:space="0" w:color="auto"/>
        <w:left w:val="none" w:sz="0" w:space="0" w:color="auto"/>
        <w:bottom w:val="none" w:sz="0" w:space="0" w:color="auto"/>
        <w:right w:val="none" w:sz="0" w:space="0" w:color="auto"/>
      </w:divBdr>
    </w:div>
    <w:div w:id="1281641571">
      <w:bodyDiv w:val="1"/>
      <w:marLeft w:val="0"/>
      <w:marRight w:val="0"/>
      <w:marTop w:val="0"/>
      <w:marBottom w:val="0"/>
      <w:divBdr>
        <w:top w:val="none" w:sz="0" w:space="0" w:color="auto"/>
        <w:left w:val="none" w:sz="0" w:space="0" w:color="auto"/>
        <w:bottom w:val="none" w:sz="0" w:space="0" w:color="auto"/>
        <w:right w:val="none" w:sz="0" w:space="0" w:color="auto"/>
      </w:divBdr>
    </w:div>
    <w:div w:id="1393970487">
      <w:bodyDiv w:val="1"/>
      <w:marLeft w:val="0"/>
      <w:marRight w:val="0"/>
      <w:marTop w:val="0"/>
      <w:marBottom w:val="0"/>
      <w:divBdr>
        <w:top w:val="none" w:sz="0" w:space="0" w:color="auto"/>
        <w:left w:val="none" w:sz="0" w:space="0" w:color="auto"/>
        <w:bottom w:val="none" w:sz="0" w:space="0" w:color="auto"/>
        <w:right w:val="none" w:sz="0" w:space="0" w:color="auto"/>
      </w:divBdr>
    </w:div>
    <w:div w:id="1447114278">
      <w:bodyDiv w:val="1"/>
      <w:marLeft w:val="0"/>
      <w:marRight w:val="0"/>
      <w:marTop w:val="0"/>
      <w:marBottom w:val="0"/>
      <w:divBdr>
        <w:top w:val="none" w:sz="0" w:space="0" w:color="auto"/>
        <w:left w:val="none" w:sz="0" w:space="0" w:color="auto"/>
        <w:bottom w:val="none" w:sz="0" w:space="0" w:color="auto"/>
        <w:right w:val="none" w:sz="0" w:space="0" w:color="auto"/>
      </w:divBdr>
    </w:div>
    <w:div w:id="1453750275">
      <w:bodyDiv w:val="1"/>
      <w:marLeft w:val="0"/>
      <w:marRight w:val="0"/>
      <w:marTop w:val="0"/>
      <w:marBottom w:val="0"/>
      <w:divBdr>
        <w:top w:val="none" w:sz="0" w:space="0" w:color="auto"/>
        <w:left w:val="none" w:sz="0" w:space="0" w:color="auto"/>
        <w:bottom w:val="none" w:sz="0" w:space="0" w:color="auto"/>
        <w:right w:val="none" w:sz="0" w:space="0" w:color="auto"/>
      </w:divBdr>
    </w:div>
    <w:div w:id="1481383364">
      <w:bodyDiv w:val="1"/>
      <w:marLeft w:val="0"/>
      <w:marRight w:val="0"/>
      <w:marTop w:val="0"/>
      <w:marBottom w:val="0"/>
      <w:divBdr>
        <w:top w:val="none" w:sz="0" w:space="0" w:color="auto"/>
        <w:left w:val="none" w:sz="0" w:space="0" w:color="auto"/>
        <w:bottom w:val="none" w:sz="0" w:space="0" w:color="auto"/>
        <w:right w:val="none" w:sz="0" w:space="0" w:color="auto"/>
      </w:divBdr>
    </w:div>
    <w:div w:id="1527523511">
      <w:bodyDiv w:val="1"/>
      <w:marLeft w:val="0"/>
      <w:marRight w:val="0"/>
      <w:marTop w:val="0"/>
      <w:marBottom w:val="0"/>
      <w:divBdr>
        <w:top w:val="none" w:sz="0" w:space="0" w:color="auto"/>
        <w:left w:val="none" w:sz="0" w:space="0" w:color="auto"/>
        <w:bottom w:val="none" w:sz="0" w:space="0" w:color="auto"/>
        <w:right w:val="none" w:sz="0" w:space="0" w:color="auto"/>
      </w:divBdr>
    </w:div>
    <w:div w:id="1625228301">
      <w:bodyDiv w:val="1"/>
      <w:marLeft w:val="0"/>
      <w:marRight w:val="0"/>
      <w:marTop w:val="0"/>
      <w:marBottom w:val="0"/>
      <w:divBdr>
        <w:top w:val="none" w:sz="0" w:space="0" w:color="auto"/>
        <w:left w:val="none" w:sz="0" w:space="0" w:color="auto"/>
        <w:bottom w:val="none" w:sz="0" w:space="0" w:color="auto"/>
        <w:right w:val="none" w:sz="0" w:space="0" w:color="auto"/>
      </w:divBdr>
    </w:div>
    <w:div w:id="1647971721">
      <w:bodyDiv w:val="1"/>
      <w:marLeft w:val="0"/>
      <w:marRight w:val="0"/>
      <w:marTop w:val="0"/>
      <w:marBottom w:val="0"/>
      <w:divBdr>
        <w:top w:val="none" w:sz="0" w:space="0" w:color="auto"/>
        <w:left w:val="none" w:sz="0" w:space="0" w:color="auto"/>
        <w:bottom w:val="none" w:sz="0" w:space="0" w:color="auto"/>
        <w:right w:val="none" w:sz="0" w:space="0" w:color="auto"/>
      </w:divBdr>
    </w:div>
    <w:div w:id="1674259412">
      <w:bodyDiv w:val="1"/>
      <w:marLeft w:val="0"/>
      <w:marRight w:val="0"/>
      <w:marTop w:val="0"/>
      <w:marBottom w:val="0"/>
      <w:divBdr>
        <w:top w:val="none" w:sz="0" w:space="0" w:color="auto"/>
        <w:left w:val="none" w:sz="0" w:space="0" w:color="auto"/>
        <w:bottom w:val="none" w:sz="0" w:space="0" w:color="auto"/>
        <w:right w:val="none" w:sz="0" w:space="0" w:color="auto"/>
      </w:divBdr>
    </w:div>
    <w:div w:id="1680623221">
      <w:bodyDiv w:val="1"/>
      <w:marLeft w:val="0"/>
      <w:marRight w:val="0"/>
      <w:marTop w:val="0"/>
      <w:marBottom w:val="0"/>
      <w:divBdr>
        <w:top w:val="none" w:sz="0" w:space="0" w:color="auto"/>
        <w:left w:val="none" w:sz="0" w:space="0" w:color="auto"/>
        <w:bottom w:val="none" w:sz="0" w:space="0" w:color="auto"/>
        <w:right w:val="none" w:sz="0" w:space="0" w:color="auto"/>
      </w:divBdr>
    </w:div>
    <w:div w:id="1705399556">
      <w:bodyDiv w:val="1"/>
      <w:marLeft w:val="0"/>
      <w:marRight w:val="0"/>
      <w:marTop w:val="0"/>
      <w:marBottom w:val="0"/>
      <w:divBdr>
        <w:top w:val="none" w:sz="0" w:space="0" w:color="auto"/>
        <w:left w:val="none" w:sz="0" w:space="0" w:color="auto"/>
        <w:bottom w:val="none" w:sz="0" w:space="0" w:color="auto"/>
        <w:right w:val="none" w:sz="0" w:space="0" w:color="auto"/>
      </w:divBdr>
    </w:div>
    <w:div w:id="1710177153">
      <w:bodyDiv w:val="1"/>
      <w:marLeft w:val="0"/>
      <w:marRight w:val="0"/>
      <w:marTop w:val="0"/>
      <w:marBottom w:val="0"/>
      <w:divBdr>
        <w:top w:val="none" w:sz="0" w:space="0" w:color="auto"/>
        <w:left w:val="none" w:sz="0" w:space="0" w:color="auto"/>
        <w:bottom w:val="none" w:sz="0" w:space="0" w:color="auto"/>
        <w:right w:val="none" w:sz="0" w:space="0" w:color="auto"/>
      </w:divBdr>
    </w:div>
    <w:div w:id="1746685664">
      <w:bodyDiv w:val="1"/>
      <w:marLeft w:val="0"/>
      <w:marRight w:val="0"/>
      <w:marTop w:val="0"/>
      <w:marBottom w:val="0"/>
      <w:divBdr>
        <w:top w:val="none" w:sz="0" w:space="0" w:color="auto"/>
        <w:left w:val="none" w:sz="0" w:space="0" w:color="auto"/>
        <w:bottom w:val="none" w:sz="0" w:space="0" w:color="auto"/>
        <w:right w:val="none" w:sz="0" w:space="0" w:color="auto"/>
      </w:divBdr>
    </w:div>
    <w:div w:id="1859418933">
      <w:bodyDiv w:val="1"/>
      <w:marLeft w:val="0"/>
      <w:marRight w:val="0"/>
      <w:marTop w:val="0"/>
      <w:marBottom w:val="0"/>
      <w:divBdr>
        <w:top w:val="none" w:sz="0" w:space="0" w:color="auto"/>
        <w:left w:val="none" w:sz="0" w:space="0" w:color="auto"/>
        <w:bottom w:val="none" w:sz="0" w:space="0" w:color="auto"/>
        <w:right w:val="none" w:sz="0" w:space="0" w:color="auto"/>
      </w:divBdr>
    </w:div>
    <w:div w:id="1878346142">
      <w:bodyDiv w:val="1"/>
      <w:marLeft w:val="0"/>
      <w:marRight w:val="0"/>
      <w:marTop w:val="0"/>
      <w:marBottom w:val="0"/>
      <w:divBdr>
        <w:top w:val="none" w:sz="0" w:space="0" w:color="auto"/>
        <w:left w:val="none" w:sz="0" w:space="0" w:color="auto"/>
        <w:bottom w:val="none" w:sz="0" w:space="0" w:color="auto"/>
        <w:right w:val="none" w:sz="0" w:space="0" w:color="auto"/>
      </w:divBdr>
    </w:div>
    <w:div w:id="1892186318">
      <w:bodyDiv w:val="1"/>
      <w:marLeft w:val="0"/>
      <w:marRight w:val="0"/>
      <w:marTop w:val="0"/>
      <w:marBottom w:val="0"/>
      <w:divBdr>
        <w:top w:val="none" w:sz="0" w:space="0" w:color="auto"/>
        <w:left w:val="none" w:sz="0" w:space="0" w:color="auto"/>
        <w:bottom w:val="none" w:sz="0" w:space="0" w:color="auto"/>
        <w:right w:val="none" w:sz="0" w:space="0" w:color="auto"/>
      </w:divBdr>
    </w:div>
    <w:div w:id="1991983487">
      <w:bodyDiv w:val="1"/>
      <w:marLeft w:val="0"/>
      <w:marRight w:val="0"/>
      <w:marTop w:val="0"/>
      <w:marBottom w:val="0"/>
      <w:divBdr>
        <w:top w:val="none" w:sz="0" w:space="0" w:color="auto"/>
        <w:left w:val="none" w:sz="0" w:space="0" w:color="auto"/>
        <w:bottom w:val="none" w:sz="0" w:space="0" w:color="auto"/>
        <w:right w:val="none" w:sz="0" w:space="0" w:color="auto"/>
      </w:divBdr>
    </w:div>
    <w:div w:id="2017689193">
      <w:bodyDiv w:val="1"/>
      <w:marLeft w:val="0"/>
      <w:marRight w:val="0"/>
      <w:marTop w:val="0"/>
      <w:marBottom w:val="0"/>
      <w:divBdr>
        <w:top w:val="none" w:sz="0" w:space="0" w:color="auto"/>
        <w:left w:val="none" w:sz="0" w:space="0" w:color="auto"/>
        <w:bottom w:val="none" w:sz="0" w:space="0" w:color="auto"/>
        <w:right w:val="none" w:sz="0" w:space="0" w:color="auto"/>
      </w:divBdr>
    </w:div>
    <w:div w:id="2063480617">
      <w:bodyDiv w:val="1"/>
      <w:marLeft w:val="0"/>
      <w:marRight w:val="0"/>
      <w:marTop w:val="0"/>
      <w:marBottom w:val="0"/>
      <w:divBdr>
        <w:top w:val="none" w:sz="0" w:space="0" w:color="auto"/>
        <w:left w:val="none" w:sz="0" w:space="0" w:color="auto"/>
        <w:bottom w:val="none" w:sz="0" w:space="0" w:color="auto"/>
        <w:right w:val="none" w:sz="0" w:space="0" w:color="auto"/>
      </w:divBdr>
      <w:divsChild>
        <w:div w:id="52625660">
          <w:marLeft w:val="0"/>
          <w:marRight w:val="0"/>
          <w:marTop w:val="0"/>
          <w:marBottom w:val="0"/>
          <w:divBdr>
            <w:top w:val="none" w:sz="0" w:space="0" w:color="auto"/>
            <w:left w:val="none" w:sz="0" w:space="0" w:color="auto"/>
            <w:bottom w:val="none" w:sz="0" w:space="0" w:color="auto"/>
            <w:right w:val="none" w:sz="0" w:space="0" w:color="auto"/>
          </w:divBdr>
        </w:div>
        <w:div w:id="723717595">
          <w:marLeft w:val="0"/>
          <w:marRight w:val="0"/>
          <w:marTop w:val="0"/>
          <w:marBottom w:val="0"/>
          <w:divBdr>
            <w:top w:val="none" w:sz="0" w:space="0" w:color="auto"/>
            <w:left w:val="none" w:sz="0" w:space="0" w:color="auto"/>
            <w:bottom w:val="none" w:sz="0" w:space="0" w:color="auto"/>
            <w:right w:val="none" w:sz="0" w:space="0" w:color="auto"/>
          </w:divBdr>
          <w:divsChild>
            <w:div w:id="1597471856">
              <w:marLeft w:val="0"/>
              <w:marRight w:val="0"/>
              <w:marTop w:val="0"/>
              <w:marBottom w:val="0"/>
              <w:divBdr>
                <w:top w:val="none" w:sz="0" w:space="0" w:color="auto"/>
                <w:left w:val="none" w:sz="0" w:space="0" w:color="auto"/>
                <w:bottom w:val="none" w:sz="0" w:space="0" w:color="auto"/>
                <w:right w:val="none" w:sz="0" w:space="0" w:color="auto"/>
              </w:divBdr>
            </w:div>
            <w:div w:id="1681590270">
              <w:marLeft w:val="0"/>
              <w:marRight w:val="0"/>
              <w:marTop w:val="0"/>
              <w:marBottom w:val="0"/>
              <w:divBdr>
                <w:top w:val="none" w:sz="0" w:space="0" w:color="auto"/>
                <w:left w:val="none" w:sz="0" w:space="0" w:color="auto"/>
                <w:bottom w:val="none" w:sz="0" w:space="0" w:color="auto"/>
                <w:right w:val="none" w:sz="0" w:space="0" w:color="auto"/>
              </w:divBdr>
            </w:div>
            <w:div w:id="1963608805">
              <w:marLeft w:val="0"/>
              <w:marRight w:val="0"/>
              <w:marTop w:val="0"/>
              <w:marBottom w:val="0"/>
              <w:divBdr>
                <w:top w:val="none" w:sz="0" w:space="0" w:color="auto"/>
                <w:left w:val="none" w:sz="0" w:space="0" w:color="auto"/>
                <w:bottom w:val="none" w:sz="0" w:space="0" w:color="auto"/>
                <w:right w:val="none" w:sz="0" w:space="0" w:color="auto"/>
              </w:divBdr>
            </w:div>
          </w:divsChild>
        </w:div>
        <w:div w:id="874999755">
          <w:marLeft w:val="0"/>
          <w:marRight w:val="0"/>
          <w:marTop w:val="0"/>
          <w:marBottom w:val="0"/>
          <w:divBdr>
            <w:top w:val="none" w:sz="0" w:space="0" w:color="auto"/>
            <w:left w:val="none" w:sz="0" w:space="0" w:color="auto"/>
            <w:bottom w:val="none" w:sz="0" w:space="0" w:color="auto"/>
            <w:right w:val="none" w:sz="0" w:space="0" w:color="auto"/>
          </w:divBdr>
          <w:divsChild>
            <w:div w:id="938370643">
              <w:marLeft w:val="0"/>
              <w:marRight w:val="0"/>
              <w:marTop w:val="0"/>
              <w:marBottom w:val="0"/>
              <w:divBdr>
                <w:top w:val="none" w:sz="0" w:space="0" w:color="auto"/>
                <w:left w:val="none" w:sz="0" w:space="0" w:color="auto"/>
                <w:bottom w:val="none" w:sz="0" w:space="0" w:color="auto"/>
                <w:right w:val="none" w:sz="0" w:space="0" w:color="auto"/>
              </w:divBdr>
            </w:div>
            <w:div w:id="1268125732">
              <w:marLeft w:val="0"/>
              <w:marRight w:val="0"/>
              <w:marTop w:val="0"/>
              <w:marBottom w:val="0"/>
              <w:divBdr>
                <w:top w:val="none" w:sz="0" w:space="0" w:color="auto"/>
                <w:left w:val="none" w:sz="0" w:space="0" w:color="auto"/>
                <w:bottom w:val="none" w:sz="0" w:space="0" w:color="auto"/>
                <w:right w:val="none" w:sz="0" w:space="0" w:color="auto"/>
              </w:divBdr>
            </w:div>
          </w:divsChild>
        </w:div>
        <w:div w:id="1098139692">
          <w:marLeft w:val="0"/>
          <w:marRight w:val="0"/>
          <w:marTop w:val="0"/>
          <w:marBottom w:val="0"/>
          <w:divBdr>
            <w:top w:val="none" w:sz="0" w:space="0" w:color="auto"/>
            <w:left w:val="none" w:sz="0" w:space="0" w:color="auto"/>
            <w:bottom w:val="none" w:sz="0" w:space="0" w:color="auto"/>
            <w:right w:val="none" w:sz="0" w:space="0" w:color="auto"/>
          </w:divBdr>
        </w:div>
        <w:div w:id="1581911647">
          <w:marLeft w:val="0"/>
          <w:marRight w:val="0"/>
          <w:marTop w:val="0"/>
          <w:marBottom w:val="0"/>
          <w:divBdr>
            <w:top w:val="none" w:sz="0" w:space="0" w:color="auto"/>
            <w:left w:val="none" w:sz="0" w:space="0" w:color="auto"/>
            <w:bottom w:val="none" w:sz="0" w:space="0" w:color="auto"/>
            <w:right w:val="none" w:sz="0" w:space="0" w:color="auto"/>
          </w:divBdr>
        </w:div>
        <w:div w:id="1746149928">
          <w:marLeft w:val="0"/>
          <w:marRight w:val="0"/>
          <w:marTop w:val="0"/>
          <w:marBottom w:val="0"/>
          <w:divBdr>
            <w:top w:val="none" w:sz="0" w:space="0" w:color="auto"/>
            <w:left w:val="none" w:sz="0" w:space="0" w:color="auto"/>
            <w:bottom w:val="none" w:sz="0" w:space="0" w:color="auto"/>
            <w:right w:val="none" w:sz="0" w:space="0" w:color="auto"/>
          </w:divBdr>
        </w:div>
        <w:div w:id="1816218179">
          <w:marLeft w:val="0"/>
          <w:marRight w:val="0"/>
          <w:marTop w:val="0"/>
          <w:marBottom w:val="0"/>
          <w:divBdr>
            <w:top w:val="none" w:sz="0" w:space="0" w:color="auto"/>
            <w:left w:val="none" w:sz="0" w:space="0" w:color="auto"/>
            <w:bottom w:val="none" w:sz="0" w:space="0" w:color="auto"/>
            <w:right w:val="none" w:sz="0" w:space="0" w:color="auto"/>
          </w:divBdr>
        </w:div>
      </w:divsChild>
    </w:div>
    <w:div w:id="2108840403">
      <w:bodyDiv w:val="1"/>
      <w:marLeft w:val="0"/>
      <w:marRight w:val="0"/>
      <w:marTop w:val="0"/>
      <w:marBottom w:val="0"/>
      <w:divBdr>
        <w:top w:val="none" w:sz="0" w:space="0" w:color="auto"/>
        <w:left w:val="none" w:sz="0" w:space="0" w:color="auto"/>
        <w:bottom w:val="none" w:sz="0" w:space="0" w:color="auto"/>
        <w:right w:val="none" w:sz="0" w:space="0" w:color="auto"/>
      </w:divBdr>
    </w:div>
    <w:div w:id="212087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ab.edu/sparkmancen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5093-6932-45E7-90CF-F4D5245C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9648</Words>
  <Characters>54995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UAB School of Public Health</Company>
  <LinksUpToDate>false</LinksUpToDate>
  <CharactersWithSpaces>64514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Rasberry-Elmore, Deonna</dc:creator>
  <cp:keywords/>
  <dc:description/>
  <cp:lastModifiedBy>Gabriel, Kelley Pettee</cp:lastModifiedBy>
  <cp:revision>4</cp:revision>
  <dcterms:created xsi:type="dcterms:W3CDTF">2025-08-13T19:47:00Z</dcterms:created>
  <dcterms:modified xsi:type="dcterms:W3CDTF">2025-08-13T20:12:00Z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2025-06-09T15:26:20Z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c3c771c5-e21f-4a33-9886-a62deb39a1ff</vt:lpwstr>
  </property>
  <property fmtid="{D5CDD505-2E9C-101B-9397-08002B2CF9AE}" pid="8" name="MSIP_Label_ae7542bc-63e5-412b-b0a0-d9586028a7d0_ContentBits">
    <vt:lpwstr>0</vt:lpwstr>
  </property>
  <property fmtid="{D5CDD505-2E9C-101B-9397-08002B2CF9AE}" pid="9" name="MSIP_Label_ae7542bc-63e5-412b-b0a0-d9586028a7d0_Tag">
    <vt:lpwstr>10, 3, 0, 1</vt:lpwstr>
  </property>
</Properties>
</file>